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313" w14:textId="6EC72A11" w:rsidR="00F71750" w:rsidRPr="00F71750" w:rsidRDefault="00465307" w:rsidP="00B71FEC">
      <w:pPr>
        <w:pStyle w:val="BodyText"/>
        <w:spacing w:before="9"/>
        <w:ind w:left="0"/>
        <w:rPr>
          <w:rFonts w:ascii="Calibri" w:hAnsi="Calibri" w:cs="Calibri"/>
          <w:sz w:val="17"/>
        </w:rPr>
      </w:pPr>
      <w:r>
        <w:rPr>
          <w:rFonts w:ascii="Calibri" w:hAnsi="Calibri" w:cs="Calibri"/>
          <w:noProof/>
          <w:sz w:val="17"/>
        </w:rPr>
        <w:drawing>
          <wp:anchor distT="0" distB="0" distL="114300" distR="114300" simplePos="0" relativeHeight="251678720" behindDoc="0" locked="0" layoutInCell="1" allowOverlap="1" wp14:anchorId="69A5BA98" wp14:editId="1F222985">
            <wp:simplePos x="0" y="0"/>
            <wp:positionH relativeFrom="column">
              <wp:posOffset>8890</wp:posOffset>
            </wp:positionH>
            <wp:positionV relativeFrom="paragraph">
              <wp:posOffset>0</wp:posOffset>
            </wp:positionV>
            <wp:extent cx="6583680" cy="3557016"/>
            <wp:effectExtent l="0" t="0" r="0" b="0"/>
            <wp:wrapSquare wrapText="bothSides"/>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680" cy="3557016"/>
                    </a:xfrm>
                    <a:prstGeom prst="rect">
                      <a:avLst/>
                    </a:prstGeom>
                  </pic:spPr>
                </pic:pic>
              </a:graphicData>
            </a:graphic>
            <wp14:sizeRelH relativeFrom="margin">
              <wp14:pctWidth>0</wp14:pctWidth>
            </wp14:sizeRelH>
            <wp14:sizeRelV relativeFrom="margin">
              <wp14:pctHeight>0</wp14:pctHeight>
            </wp14:sizeRelV>
          </wp:anchor>
        </w:drawing>
      </w:r>
    </w:p>
    <w:p w14:paraId="566B9B6E" w14:textId="77777777" w:rsidR="00F71750" w:rsidRPr="00F71750" w:rsidRDefault="00F71750" w:rsidP="00F71750">
      <w:pPr>
        <w:pStyle w:val="BodyText"/>
        <w:spacing w:before="9"/>
        <w:ind w:left="0"/>
        <w:rPr>
          <w:rFonts w:ascii="Calibri" w:hAnsi="Calibri" w:cs="Calibri"/>
          <w:sz w:val="11"/>
        </w:rPr>
      </w:pPr>
    </w:p>
    <w:p w14:paraId="7936A865" w14:textId="77777777" w:rsidR="00F71750" w:rsidRPr="00F71750" w:rsidRDefault="00F71750" w:rsidP="00F71750">
      <w:pPr>
        <w:pStyle w:val="BodyText"/>
        <w:spacing w:before="8"/>
        <w:ind w:left="0"/>
        <w:rPr>
          <w:rFonts w:ascii="Calibri" w:hAnsi="Calibri" w:cs="Calibri"/>
          <w:sz w:val="7"/>
        </w:rPr>
      </w:pPr>
    </w:p>
    <w:p w14:paraId="40E717F0" w14:textId="77777777" w:rsidR="00F71750" w:rsidRPr="0084136E" w:rsidRDefault="00F71750" w:rsidP="00F71750">
      <w:pPr>
        <w:pStyle w:val="Heading1"/>
        <w:spacing w:before="0"/>
        <w:ind w:left="174"/>
        <w:jc w:val="center"/>
        <w:rPr>
          <w:color w:val="4B6C90"/>
        </w:rPr>
      </w:pPr>
      <w:r w:rsidRPr="0084136E">
        <w:rPr>
          <w:color w:val="4B6C90"/>
          <w:w w:val="115"/>
        </w:rPr>
        <w:t>How to Prepare for Tax Season</w:t>
      </w:r>
    </w:p>
    <w:p w14:paraId="7C8E25BB" w14:textId="77777777" w:rsidR="00F71750" w:rsidRPr="00F71750" w:rsidRDefault="00F71750" w:rsidP="00F71750">
      <w:pPr>
        <w:pStyle w:val="BodyText"/>
        <w:spacing w:line="244" w:lineRule="auto"/>
        <w:ind w:left="159" w:right="649"/>
        <w:jc w:val="both"/>
        <w:rPr>
          <w:rFonts w:ascii="Calibri" w:hAnsi="Calibri" w:cs="Calibri"/>
          <w:color w:val="231F20"/>
          <w:sz w:val="24"/>
          <w:szCs w:val="24"/>
        </w:rPr>
      </w:pPr>
    </w:p>
    <w:p w14:paraId="744A6513" w14:textId="644B7292" w:rsidR="00F71750" w:rsidRPr="000F4AD7" w:rsidRDefault="000F4AD7" w:rsidP="00F71750">
      <w:pPr>
        <w:jc w:val="center"/>
        <w:rPr>
          <w:rFonts w:ascii="Calibri" w:hAnsi="Calibri" w:cs="Calibr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AD7">
        <w:rPr>
          <w:rFonts w:ascii="Calibri" w:hAnsi="Calibri" w:cs="Calibr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Valley Financial Services</w:t>
      </w:r>
    </w:p>
    <w:p w14:paraId="65148AB4" w14:textId="77777777" w:rsidR="00F71750" w:rsidRPr="00F71750" w:rsidRDefault="00F71750" w:rsidP="00F71750">
      <w:pPr>
        <w:pStyle w:val="BodyText"/>
        <w:ind w:left="158" w:right="648"/>
        <w:rPr>
          <w:rFonts w:ascii="Calibri" w:hAnsi="Calibri" w:cs="Calibri"/>
          <w:color w:val="231F20"/>
          <w:sz w:val="24"/>
          <w:szCs w:val="24"/>
        </w:rPr>
      </w:pPr>
    </w:p>
    <w:p w14:paraId="40EC71D9" w14:textId="1D5ED365" w:rsidR="00D16315" w:rsidRPr="0084136E" w:rsidRDefault="00155327" w:rsidP="00F63FD1">
      <w:pPr>
        <w:pStyle w:val="BodyText"/>
        <w:ind w:left="0" w:right="648"/>
        <w:rPr>
          <w:rFonts w:asciiTheme="minorHAnsi" w:hAnsiTheme="minorHAnsi" w:cstheme="minorHAnsi"/>
          <w:b/>
          <w:bCs/>
          <w:color w:val="4B6C90"/>
          <w:sz w:val="24"/>
          <w:szCs w:val="24"/>
        </w:rPr>
      </w:pPr>
      <w:r w:rsidRPr="0084136E">
        <w:rPr>
          <w:rFonts w:asciiTheme="minorHAnsi" w:hAnsiTheme="minorHAnsi" w:cstheme="minorHAnsi"/>
          <w:b/>
          <w:bCs/>
          <w:color w:val="4B6C90"/>
          <w:w w:val="110"/>
          <w:sz w:val="24"/>
          <w:szCs w:val="24"/>
        </w:rPr>
        <w:t>Understand Where Your Federal Tax Dollars Go</w:t>
      </w:r>
    </w:p>
    <w:p w14:paraId="664217BB" w14:textId="280C4503" w:rsidR="00D16315" w:rsidRDefault="00D16315" w:rsidP="00A42F60">
      <w:pPr>
        <w:rPr>
          <w:rFonts w:ascii="Calibri" w:hAnsi="Calibri" w:cs="Calibri"/>
          <w:color w:val="000000"/>
        </w:rPr>
      </w:pPr>
      <w:r w:rsidRPr="00D16315">
        <w:rPr>
          <w:rFonts w:ascii="Calibri" w:hAnsi="Calibri" w:cs="Calibri"/>
          <w:color w:val="000000"/>
        </w:rPr>
        <w:t>In this guide, we will explore where your tax dollars go, some of the ways tax filing may look different in 2022, and what you can do to prepare. Keep in mind, this guide is for informational purposes only and is not a replacement for real-life advice, so make sure to consult your tax, legal, and accounting professionals before modifying your strategy. </w:t>
      </w:r>
    </w:p>
    <w:p w14:paraId="79C045F3" w14:textId="77777777" w:rsidR="00A42F60" w:rsidRPr="00D16315" w:rsidRDefault="00A42F60" w:rsidP="00A42F60"/>
    <w:p w14:paraId="10954724" w14:textId="5AC63CED" w:rsidR="00D16315" w:rsidRDefault="00D16315" w:rsidP="00A42F60">
      <w:pPr>
        <w:rPr>
          <w:rFonts w:ascii="Calibri" w:hAnsi="Calibri" w:cs="Calibri"/>
          <w:color w:val="000000"/>
        </w:rPr>
      </w:pPr>
      <w:r w:rsidRPr="00D16315">
        <w:rPr>
          <w:rFonts w:ascii="Calibri" w:hAnsi="Calibri" w:cs="Calibri"/>
          <w:color w:val="000000"/>
        </w:rPr>
        <w:t xml:space="preserve">Before we dive into the upcoming tax brackets and what you can do to prepare for 2022, </w:t>
      </w:r>
      <w:r w:rsidR="00B66FD6">
        <w:rPr>
          <w:rFonts w:ascii="Calibri" w:hAnsi="Calibri" w:cs="Calibri"/>
          <w:color w:val="000000"/>
        </w:rPr>
        <w:br/>
      </w:r>
      <w:r w:rsidRPr="00D16315">
        <w:rPr>
          <w:rFonts w:ascii="Calibri" w:hAnsi="Calibri" w:cs="Calibri"/>
          <w:color w:val="000000"/>
        </w:rPr>
        <w:t>it can be helpful to understand precisely where the government allocates your federal tax dollars. </w:t>
      </w:r>
    </w:p>
    <w:p w14:paraId="55C4A5E1" w14:textId="77777777" w:rsidR="00A42F60" w:rsidRPr="00D16315" w:rsidRDefault="00A42F60" w:rsidP="00A42F60"/>
    <w:p w14:paraId="49D6DA43" w14:textId="67CA665F" w:rsidR="00D16315" w:rsidRPr="00D16315" w:rsidRDefault="00D16315" w:rsidP="00D16315">
      <w:r w:rsidRPr="00D16315">
        <w:rPr>
          <w:rFonts w:ascii="Calibri" w:hAnsi="Calibri" w:cs="Calibri"/>
          <w:color w:val="000000"/>
        </w:rPr>
        <w:t xml:space="preserve">In 2021, the federal government spent $6.82 trillion, which equals 30% of the nation’s gross domestic product. Further examination reveals that three significant areas of spending make up the majority of </w:t>
      </w:r>
      <w:r w:rsidR="00B66FD6">
        <w:rPr>
          <w:rFonts w:ascii="Calibri" w:hAnsi="Calibri" w:cs="Calibri"/>
          <w:color w:val="000000"/>
        </w:rPr>
        <w:br/>
      </w:r>
      <w:r w:rsidRPr="00D16315">
        <w:rPr>
          <w:rFonts w:ascii="Calibri" w:hAnsi="Calibri" w:cs="Calibri"/>
          <w:color w:val="000000"/>
        </w:rPr>
        <w:t>the budget.</w:t>
      </w:r>
      <w:r w:rsidR="00E52BF6" w:rsidRPr="00E52BF6">
        <w:rPr>
          <w:rFonts w:ascii="Calibri" w:hAnsi="Calibri" w:cs="Calibri"/>
          <w:color w:val="000000"/>
          <w:vertAlign w:val="superscript"/>
        </w:rPr>
        <w:t>1</w:t>
      </w:r>
      <w:r w:rsidRPr="00D16315">
        <w:rPr>
          <w:rFonts w:ascii="Calibri" w:hAnsi="Calibri" w:cs="Calibri"/>
          <w:color w:val="000000"/>
        </w:rPr>
        <w:t xml:space="preserve"> </w:t>
      </w:r>
    </w:p>
    <w:p w14:paraId="1D10DAE9" w14:textId="4105AE8A" w:rsidR="00522765" w:rsidRDefault="000F4AD7">
      <w:pPr>
        <w:rPr>
          <w:rFonts w:asciiTheme="minorHAnsi" w:hAnsiTheme="minorHAnsi" w:cstheme="minorHAnsi"/>
        </w:rPr>
      </w:pPr>
    </w:p>
    <w:p w14:paraId="305C12E2" w14:textId="2F785966" w:rsidR="00E52BF6" w:rsidRPr="0084136E" w:rsidRDefault="00E52BF6" w:rsidP="00E52BF6">
      <w:pPr>
        <w:pStyle w:val="BodyText"/>
        <w:ind w:left="0" w:right="648"/>
        <w:rPr>
          <w:rFonts w:asciiTheme="minorHAnsi" w:hAnsiTheme="minorHAnsi" w:cstheme="minorHAnsi"/>
          <w:b/>
          <w:bCs/>
          <w:color w:val="4B6C90"/>
          <w:sz w:val="24"/>
          <w:szCs w:val="24"/>
        </w:rPr>
      </w:pPr>
      <w:r w:rsidRPr="0084136E">
        <w:rPr>
          <w:rFonts w:asciiTheme="minorHAnsi" w:hAnsiTheme="minorHAnsi" w:cstheme="minorHAnsi"/>
          <w:b/>
          <w:bCs/>
          <w:color w:val="4B6C90"/>
          <w:w w:val="110"/>
          <w:sz w:val="24"/>
          <w:szCs w:val="24"/>
        </w:rPr>
        <w:t>Medicare</w:t>
      </w:r>
    </w:p>
    <w:p w14:paraId="046B5DB6" w14:textId="25F6B0C3" w:rsidR="00A42F60" w:rsidRPr="00D16315" w:rsidRDefault="00D16315" w:rsidP="00A42F60">
      <w:pPr>
        <w:rPr>
          <w:rFonts w:ascii="Calibri" w:hAnsi="Calibri" w:cs="Calibri"/>
          <w:color w:val="000000"/>
          <w:vertAlign w:val="superscript"/>
        </w:rPr>
      </w:pPr>
      <w:r w:rsidRPr="00D16315">
        <w:rPr>
          <w:rFonts w:ascii="Calibri" w:hAnsi="Calibri" w:cs="Calibri"/>
          <w:color w:val="000000"/>
        </w:rPr>
        <w:t>Medicare accounted for $696.5 billion, or 10% of the budget, in 2021.</w:t>
      </w:r>
      <w:r w:rsidR="00E52BF6" w:rsidRPr="00E52BF6">
        <w:rPr>
          <w:rFonts w:ascii="Calibri" w:hAnsi="Calibri" w:cs="Calibri"/>
          <w:color w:val="000000"/>
          <w:vertAlign w:val="superscript"/>
        </w:rPr>
        <w:t>1</w:t>
      </w:r>
    </w:p>
    <w:p w14:paraId="742F1C3D" w14:textId="77777777" w:rsidR="00A42F60" w:rsidRDefault="00A42F60" w:rsidP="00E52BF6">
      <w:pPr>
        <w:pStyle w:val="BodyText"/>
        <w:ind w:left="0" w:right="648"/>
        <w:rPr>
          <w:rFonts w:asciiTheme="minorHAnsi" w:hAnsiTheme="minorHAnsi" w:cstheme="minorHAnsi"/>
          <w:b/>
          <w:bCs/>
          <w:color w:val="4949CC"/>
          <w:w w:val="110"/>
          <w:sz w:val="24"/>
          <w:szCs w:val="24"/>
        </w:rPr>
      </w:pPr>
    </w:p>
    <w:p w14:paraId="59BBB6FB" w14:textId="03E7F1AD" w:rsidR="00E52BF6" w:rsidRPr="0084136E" w:rsidRDefault="00E52BF6" w:rsidP="00E52BF6">
      <w:pPr>
        <w:pStyle w:val="BodyText"/>
        <w:ind w:left="0" w:right="648"/>
        <w:rPr>
          <w:rFonts w:asciiTheme="minorHAnsi" w:hAnsiTheme="minorHAnsi" w:cstheme="minorHAnsi"/>
          <w:b/>
          <w:bCs/>
          <w:color w:val="4B6C90"/>
          <w:sz w:val="24"/>
          <w:szCs w:val="24"/>
        </w:rPr>
      </w:pPr>
      <w:r w:rsidRPr="0084136E">
        <w:rPr>
          <w:rFonts w:asciiTheme="minorHAnsi" w:hAnsiTheme="minorHAnsi" w:cstheme="minorHAnsi"/>
          <w:b/>
          <w:bCs/>
          <w:color w:val="4B6C90"/>
          <w:w w:val="110"/>
          <w:sz w:val="24"/>
          <w:szCs w:val="24"/>
        </w:rPr>
        <w:t>Defense Spending</w:t>
      </w:r>
    </w:p>
    <w:p w14:paraId="1839B90E" w14:textId="6B861B2E" w:rsidR="00D16315" w:rsidRDefault="00D16315" w:rsidP="00A42F60">
      <w:pPr>
        <w:rPr>
          <w:rFonts w:ascii="Calibri" w:hAnsi="Calibri" w:cs="Calibri"/>
          <w:color w:val="000000"/>
        </w:rPr>
      </w:pPr>
      <w:r w:rsidRPr="00D16315">
        <w:rPr>
          <w:rFonts w:ascii="Calibri" w:hAnsi="Calibri" w:cs="Calibri"/>
          <w:color w:val="000000"/>
        </w:rPr>
        <w:t xml:space="preserve">Another $754.8 billion, or 11% of the budget, was paid for defense and security-related international activities. The bulk of the spending in this category reflects the underlying costs of the Defense Department. This includes the cost of multiple defense initiatives and related activities, </w:t>
      </w:r>
      <w:r w:rsidR="00B66FD6">
        <w:rPr>
          <w:rFonts w:ascii="Calibri" w:hAnsi="Calibri" w:cs="Calibri"/>
          <w:color w:val="000000"/>
        </w:rPr>
        <w:br/>
      </w:r>
      <w:r w:rsidRPr="00D16315">
        <w:rPr>
          <w:rFonts w:ascii="Calibri" w:hAnsi="Calibri" w:cs="Calibri"/>
          <w:color w:val="000000"/>
        </w:rPr>
        <w:t>described as Overseas Contingency Operations in the budget.</w:t>
      </w:r>
      <w:r w:rsidR="00E52BF6" w:rsidRPr="00E52BF6">
        <w:rPr>
          <w:rFonts w:ascii="Calibri" w:hAnsi="Calibri" w:cs="Calibri"/>
          <w:color w:val="000000"/>
          <w:vertAlign w:val="superscript"/>
        </w:rPr>
        <w:t>1</w:t>
      </w:r>
      <w:r w:rsidRPr="00D16315">
        <w:rPr>
          <w:rFonts w:ascii="Calibri" w:hAnsi="Calibri" w:cs="Calibri"/>
          <w:color w:val="000000"/>
        </w:rPr>
        <w:t> </w:t>
      </w:r>
    </w:p>
    <w:p w14:paraId="10384EE8" w14:textId="77777777" w:rsidR="002D1B08" w:rsidRDefault="00BB48AA" w:rsidP="00E61CF0">
      <w:pPr>
        <w:pStyle w:val="BodyText"/>
        <w:ind w:left="0" w:right="648"/>
        <w:rPr>
          <w:rFonts w:asciiTheme="minorHAnsi" w:hAnsiTheme="minorHAnsi" w:cstheme="minorHAnsi"/>
          <w:b/>
          <w:bCs/>
          <w:color w:val="4B6C90"/>
          <w:w w:val="110"/>
          <w:sz w:val="24"/>
          <w:szCs w:val="24"/>
        </w:rPr>
      </w:pPr>
      <w:r>
        <w:rPr>
          <w:rFonts w:asciiTheme="minorHAnsi" w:hAnsiTheme="minorHAnsi" w:cstheme="minorHAnsi"/>
          <w:b/>
          <w:bCs/>
          <w:color w:val="4B6C90"/>
          <w:w w:val="110"/>
          <w:sz w:val="24"/>
          <w:szCs w:val="24"/>
        </w:rPr>
        <w:br/>
      </w:r>
    </w:p>
    <w:p w14:paraId="6A376F57" w14:textId="704E8B06" w:rsidR="00E61CF0" w:rsidRPr="0084136E" w:rsidRDefault="00E52BF6" w:rsidP="00E61CF0">
      <w:pPr>
        <w:pStyle w:val="BodyText"/>
        <w:ind w:left="0" w:right="648"/>
        <w:rPr>
          <w:rFonts w:asciiTheme="minorHAnsi" w:hAnsiTheme="minorHAnsi" w:cstheme="minorHAnsi"/>
          <w:b/>
          <w:bCs/>
          <w:color w:val="4B6C90"/>
          <w:w w:val="110"/>
          <w:sz w:val="24"/>
          <w:szCs w:val="24"/>
        </w:rPr>
      </w:pPr>
      <w:r w:rsidRPr="0084136E">
        <w:rPr>
          <w:rFonts w:asciiTheme="minorHAnsi" w:hAnsiTheme="minorHAnsi" w:cstheme="minorHAnsi"/>
          <w:b/>
          <w:bCs/>
          <w:color w:val="4B6C90"/>
          <w:w w:val="110"/>
          <w:sz w:val="24"/>
          <w:szCs w:val="24"/>
        </w:rPr>
        <w:lastRenderedPageBreak/>
        <w:t>Social Security</w:t>
      </w:r>
    </w:p>
    <w:p w14:paraId="4B922468" w14:textId="34FD0862" w:rsidR="00D16315" w:rsidRPr="00D16315" w:rsidRDefault="00D16315" w:rsidP="00E61CF0">
      <w:pPr>
        <w:pStyle w:val="BodyText"/>
        <w:ind w:left="0" w:right="648"/>
        <w:rPr>
          <w:rFonts w:asciiTheme="minorHAnsi" w:hAnsiTheme="minorHAnsi" w:cstheme="minorHAnsi"/>
          <w:b/>
          <w:bCs/>
          <w:color w:val="231F20"/>
          <w:sz w:val="24"/>
          <w:szCs w:val="24"/>
        </w:rPr>
      </w:pPr>
      <w:r w:rsidRPr="00D16315">
        <w:rPr>
          <w:rFonts w:ascii="Calibri" w:hAnsi="Calibri" w:cs="Calibri"/>
          <w:color w:val="000000"/>
          <w:sz w:val="24"/>
          <w:szCs w:val="24"/>
        </w:rPr>
        <w:t>Seventeen percent of the budget, or $1.1 trillion, was paid for Social Security, which provided monthly retirement benefits averaging $1,497 to 46 million retired workers. Social Security also provided benefits to 3 million spouses and children of retired workers, 6 million surviving children and spouses of deceased workers, and 10 million disabled workers and their eligible dependents.</w:t>
      </w:r>
      <w:r w:rsidRPr="00D16315">
        <w:rPr>
          <w:rFonts w:ascii="Calibri" w:hAnsi="Calibri" w:cs="Calibri"/>
          <w:color w:val="000000"/>
          <w:sz w:val="24"/>
          <w:szCs w:val="24"/>
          <w:vertAlign w:val="superscript"/>
        </w:rPr>
        <w:t>1,2</w:t>
      </w:r>
    </w:p>
    <w:p w14:paraId="60E0DE06" w14:textId="77777777" w:rsidR="00F71750" w:rsidRPr="00860547" w:rsidRDefault="00F71750" w:rsidP="005508B5">
      <w:pPr>
        <w:pStyle w:val="Heading1"/>
        <w:spacing w:before="0"/>
        <w:ind w:left="0" w:right="490"/>
        <w:jc w:val="both"/>
        <w:rPr>
          <w:rFonts w:asciiTheme="minorHAnsi" w:hAnsiTheme="minorHAnsi" w:cstheme="minorHAnsi"/>
          <w:color w:val="0070C0"/>
          <w:w w:val="110"/>
          <w:sz w:val="24"/>
          <w:szCs w:val="24"/>
        </w:rPr>
      </w:pPr>
    </w:p>
    <w:p w14:paraId="41B26F92" w14:textId="2DB282B8" w:rsidR="00F71750" w:rsidRPr="0084136E" w:rsidRDefault="00F71750" w:rsidP="003170BE">
      <w:pPr>
        <w:pStyle w:val="Heading1"/>
        <w:spacing w:before="0"/>
        <w:ind w:left="0" w:right="490"/>
        <w:jc w:val="both"/>
        <w:rPr>
          <w:rFonts w:asciiTheme="minorHAnsi" w:hAnsiTheme="minorHAnsi" w:cstheme="minorHAnsi"/>
          <w:color w:val="4B6C90"/>
          <w:w w:val="110"/>
          <w:sz w:val="24"/>
          <w:szCs w:val="24"/>
        </w:rPr>
      </w:pPr>
      <w:r w:rsidRPr="0084136E">
        <w:rPr>
          <w:rFonts w:asciiTheme="minorHAnsi" w:hAnsiTheme="minorHAnsi" w:cstheme="minorHAnsi"/>
          <w:color w:val="4B6C90"/>
          <w:w w:val="110"/>
          <w:sz w:val="24"/>
          <w:szCs w:val="24"/>
        </w:rPr>
        <w:t>The Tax Brackets</w:t>
      </w:r>
    </w:p>
    <w:p w14:paraId="67CD056F" w14:textId="0115514A" w:rsidR="00465307" w:rsidRDefault="00F71750" w:rsidP="003170BE">
      <w:pPr>
        <w:pStyle w:val="BodyText"/>
        <w:ind w:left="0" w:right="490"/>
        <w:jc w:val="both"/>
        <w:rPr>
          <w:rFonts w:asciiTheme="minorHAnsi" w:hAnsiTheme="minorHAnsi" w:cstheme="minorHAnsi"/>
          <w:color w:val="231F20"/>
          <w:sz w:val="24"/>
          <w:szCs w:val="24"/>
          <w:vertAlign w:val="superscript"/>
        </w:rPr>
      </w:pPr>
      <w:r w:rsidRPr="00D01C33">
        <w:rPr>
          <w:rFonts w:asciiTheme="minorHAnsi" w:hAnsiTheme="minorHAnsi" w:cstheme="minorHAnsi"/>
          <w:color w:val="231F20"/>
          <w:sz w:val="24"/>
          <w:szCs w:val="24"/>
        </w:rPr>
        <w:t>The tax brackets are: 10%, 12%, 22%, 24%, 32%, 35%, and 37%.</w:t>
      </w:r>
      <w:r w:rsidR="00D16315">
        <w:rPr>
          <w:rFonts w:asciiTheme="minorHAnsi" w:hAnsiTheme="minorHAnsi" w:cstheme="minorHAnsi"/>
          <w:color w:val="231F20"/>
          <w:sz w:val="24"/>
          <w:szCs w:val="24"/>
        </w:rPr>
        <w:t xml:space="preserve"> </w:t>
      </w:r>
      <w:r w:rsidRPr="00D01C33">
        <w:rPr>
          <w:rFonts w:asciiTheme="minorHAnsi" w:hAnsiTheme="minorHAnsi" w:cstheme="minorHAnsi"/>
          <w:color w:val="231F20"/>
          <w:sz w:val="24"/>
          <w:szCs w:val="24"/>
        </w:rPr>
        <w:t>Here are the tax brackets and the corresponding income ranges</w:t>
      </w:r>
      <w:r w:rsidR="0024675E" w:rsidRPr="00D01C33">
        <w:rPr>
          <w:rFonts w:asciiTheme="minorHAnsi" w:hAnsiTheme="minorHAnsi" w:cstheme="minorHAnsi"/>
          <w:color w:val="231F20"/>
          <w:sz w:val="24"/>
          <w:szCs w:val="24"/>
        </w:rPr>
        <w:t>.</w:t>
      </w:r>
      <w:r w:rsidR="0024675E" w:rsidRPr="00D01C33">
        <w:rPr>
          <w:rFonts w:asciiTheme="minorHAnsi" w:hAnsiTheme="minorHAnsi" w:cstheme="minorHAnsi"/>
          <w:color w:val="231F20"/>
          <w:sz w:val="24"/>
          <w:szCs w:val="24"/>
          <w:vertAlign w:val="superscript"/>
        </w:rPr>
        <w:t>3</w:t>
      </w:r>
    </w:p>
    <w:p w14:paraId="6ECF3F6D" w14:textId="6FD20D9A" w:rsidR="00465307" w:rsidRPr="00D01C33" w:rsidRDefault="00393235" w:rsidP="003170BE">
      <w:pPr>
        <w:pStyle w:val="BodyText"/>
        <w:ind w:left="0" w:right="490"/>
        <w:jc w:val="both"/>
        <w:rPr>
          <w:rFonts w:asciiTheme="minorHAnsi" w:hAnsiTheme="minorHAnsi" w:cstheme="minorHAnsi"/>
          <w:color w:val="231F20"/>
          <w:sz w:val="24"/>
          <w:szCs w:val="24"/>
        </w:rPr>
      </w:pPr>
      <w:r w:rsidRPr="00D35B18">
        <w:rPr>
          <w:rFonts w:ascii="Calibri" w:hAnsi="Calibri" w:cs="Calibri"/>
          <w:noProof/>
        </w:rPr>
        <mc:AlternateContent>
          <mc:Choice Requires="wps">
            <w:drawing>
              <wp:anchor distT="0" distB="0" distL="0" distR="0" simplePos="0" relativeHeight="251673600" behindDoc="1" locked="0" layoutInCell="1" allowOverlap="1" wp14:anchorId="6860C55A" wp14:editId="166CBF35">
                <wp:simplePos x="0" y="0"/>
                <wp:positionH relativeFrom="page">
                  <wp:posOffset>745635</wp:posOffset>
                </wp:positionH>
                <wp:positionV relativeFrom="paragraph">
                  <wp:posOffset>196215</wp:posOffset>
                </wp:positionV>
                <wp:extent cx="6284595" cy="0"/>
                <wp:effectExtent l="0" t="0" r="14605" b="1270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1C72"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5.45pt" to="55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UtpwEAADMDAAAOAAAAZHJzL2Uyb0RvYy54bWysUtuO0zAQfUfiHyy/06QVeyFquoIuy8vC&#10;Vlr4gKntNBaOx5pxm/Tvsb1tub0hXkZz8/GcM7O8mwYnDobYom/lfFZLYbxCbf2uld++Pry5lYIj&#10;eA0OvWnl0bC8W71+tRxDYxbYo9OGRALx3IyhlX2MoakqVr0ZgGcYjE/FDmmAmELaVZpgTOiDqxZ1&#10;fV2NSDoQKsOcsvcvRbkq+F1nVHzqOjZRuFam2WKxVOw222q1hGZHEHqrTmPAP0wxgPXp0wvUPUQQ&#10;e7J/QQ1WETJ2caZwqLDrrDKFQ2Izr/9g89xDMIVLEofDRSb+f7Dqy2HtN5RHV5N/Do+ovnMSpRoD&#10;N5diDjhsSGzHz6jTGmEfsfCdOhry48RETEXW40VWM0WhUvJ6cfv26t2VFOpcq6A5PwzE8ZPBQWSn&#10;lc76zBgaODxyzINAc27JaY8P1rmyNefFmE5ucVPX5QWjszpXcx/Tbrt2JA6QFr9+/+FmPc+7Tmi/&#10;tRHuvS5ovQH98eRHsO7FT/3On9TIAuS74maL+rihDJejtJkCfLqivPpf49L189ZXPwAAAP//AwBQ&#10;SwMEFAAGAAgAAAAhAAiq0rvfAAAADwEAAA8AAABkcnMvZG93bnJldi54bWxMTz1PwzAQ3ZH4D9Yh&#10;sVHb0FJI41SIioGRpAOjG1+TiPgcxW4b+PVcxUCXk97du/eRryffiyOOsQtkQM8UCKQ6uI4aA9vq&#10;7e4JREyWnO0DoYFvjLAurq9ym7lwog88lqkRLEIxswbalIZMyli36G2chQGJb/swepsYjo10oz2x&#10;uO/lvVKP0tuO2KG1A762WH+VB29gDFTpSu7l3Jbvcrv5WXx2uDDm9mbarHi8rEAknNL/B5w7cH4o&#10;ONguHMhF0TPWyzlTDTyoZxBnglZLDWL3t5FFLi97FL8AAAD//wMAUEsBAi0AFAAGAAgAAAAhALaD&#10;OJL+AAAA4QEAABMAAAAAAAAAAAAAAAAAAAAAAFtDb250ZW50X1R5cGVzXS54bWxQSwECLQAUAAYA&#10;CAAAACEAOP0h/9YAAACUAQAACwAAAAAAAAAAAAAAAAAvAQAAX3JlbHMvLnJlbHNQSwECLQAUAAYA&#10;CAAAACEAwZiVLacBAAAzAwAADgAAAAAAAAAAAAAAAAAuAgAAZHJzL2Uyb0RvYy54bWxQSwECLQAU&#10;AAYACAAAACEACKrSu98AAAAPAQAADwAAAAAAAAAAAAAAAAABBAAAZHJzL2Rvd25yZXYueG1sUEsF&#10;BgAAAAAEAAQA8wAAAA0FAAAAAA==&#10;" strokecolor="#cab7c1" strokeweight="1pt">
                <o:lock v:ext="edit" shapetype="f"/>
                <w10:wrap type="topAndBottom" anchorx="page"/>
              </v:line>
            </w:pict>
          </mc:Fallback>
        </mc:AlternateContent>
      </w:r>
    </w:p>
    <w:tbl>
      <w:tblPr>
        <w:tblW w:w="10558" w:type="dxa"/>
        <w:tblInd w:w="720" w:type="dxa"/>
        <w:tblLayout w:type="fixed"/>
        <w:tblCellMar>
          <w:left w:w="0" w:type="dxa"/>
          <w:right w:w="0" w:type="dxa"/>
        </w:tblCellMar>
        <w:tblLook w:val="01E0" w:firstRow="1" w:lastRow="1" w:firstColumn="1" w:lastColumn="1" w:noHBand="0" w:noVBand="0"/>
      </w:tblPr>
      <w:tblGrid>
        <w:gridCol w:w="2330"/>
        <w:gridCol w:w="3548"/>
        <w:gridCol w:w="4680"/>
      </w:tblGrid>
      <w:tr w:rsidR="00F71750" w:rsidRPr="00D01C33" w14:paraId="257EA82D" w14:textId="77777777" w:rsidTr="00722672">
        <w:trPr>
          <w:trHeight w:val="425"/>
        </w:trPr>
        <w:tc>
          <w:tcPr>
            <w:tcW w:w="2330" w:type="dxa"/>
          </w:tcPr>
          <w:p w14:paraId="3D71E512" w14:textId="64F00B8D" w:rsidR="00F71750" w:rsidRDefault="00F71750" w:rsidP="000B37FE">
            <w:pPr>
              <w:pStyle w:val="TableParagraph"/>
              <w:spacing w:before="0"/>
              <w:ind w:left="0" w:right="490"/>
              <w:jc w:val="both"/>
              <w:rPr>
                <w:rFonts w:asciiTheme="minorHAnsi" w:hAnsiTheme="minorHAnsi" w:cstheme="minorHAnsi"/>
                <w:b/>
                <w:color w:val="0070C0"/>
                <w:w w:val="110"/>
              </w:rPr>
            </w:pPr>
          </w:p>
          <w:p w14:paraId="67F7FC02" w14:textId="77777777" w:rsidR="00393235" w:rsidRPr="00D01C33" w:rsidRDefault="00393235" w:rsidP="000B37FE">
            <w:pPr>
              <w:pStyle w:val="TableParagraph"/>
              <w:spacing w:before="0"/>
              <w:ind w:left="0" w:right="490"/>
              <w:jc w:val="both"/>
              <w:rPr>
                <w:rFonts w:asciiTheme="minorHAnsi" w:hAnsiTheme="minorHAnsi" w:cstheme="minorHAnsi"/>
                <w:b/>
                <w:color w:val="0070C0"/>
                <w:w w:val="110"/>
              </w:rPr>
            </w:pPr>
          </w:p>
          <w:p w14:paraId="556DB4FC" w14:textId="2A9652A0" w:rsidR="00F71750" w:rsidRPr="0084136E" w:rsidRDefault="00F71750" w:rsidP="000B37FE">
            <w:pPr>
              <w:pStyle w:val="TableParagraph"/>
              <w:spacing w:before="0"/>
              <w:ind w:left="0" w:right="490"/>
              <w:jc w:val="both"/>
              <w:rPr>
                <w:rFonts w:asciiTheme="minorHAnsi" w:hAnsiTheme="minorHAnsi" w:cstheme="minorHAnsi"/>
                <w:b/>
                <w:color w:val="B9E6FF"/>
              </w:rPr>
            </w:pPr>
            <w:r w:rsidRPr="0084136E">
              <w:rPr>
                <w:rFonts w:asciiTheme="minorHAnsi" w:hAnsiTheme="minorHAnsi" w:cstheme="minorHAnsi"/>
                <w:b/>
                <w:color w:val="4B6C90"/>
                <w:w w:val="110"/>
              </w:rPr>
              <w:t>20</w:t>
            </w:r>
            <w:r w:rsidR="0024675E" w:rsidRPr="0084136E">
              <w:rPr>
                <w:rFonts w:asciiTheme="minorHAnsi" w:hAnsiTheme="minorHAnsi" w:cstheme="minorHAnsi"/>
                <w:b/>
                <w:color w:val="4B6C90"/>
                <w:w w:val="110"/>
              </w:rPr>
              <w:t>2</w:t>
            </w:r>
            <w:r w:rsidR="00D16315" w:rsidRPr="0084136E">
              <w:rPr>
                <w:rFonts w:asciiTheme="minorHAnsi" w:hAnsiTheme="minorHAnsi" w:cstheme="minorHAnsi"/>
                <w:b/>
                <w:color w:val="4B6C90"/>
                <w:w w:val="110"/>
              </w:rPr>
              <w:t>1</w:t>
            </w:r>
            <w:r w:rsidRPr="0084136E">
              <w:rPr>
                <w:rFonts w:asciiTheme="minorHAnsi" w:hAnsiTheme="minorHAnsi" w:cstheme="minorHAnsi"/>
                <w:b/>
                <w:color w:val="4B6C90"/>
                <w:w w:val="110"/>
              </w:rPr>
              <w:t xml:space="preserve"> Tax Rate</w:t>
            </w:r>
          </w:p>
        </w:tc>
        <w:tc>
          <w:tcPr>
            <w:tcW w:w="3548" w:type="dxa"/>
          </w:tcPr>
          <w:p w14:paraId="6CC51264" w14:textId="3DB9C55B" w:rsidR="00F71750" w:rsidRDefault="00F71750" w:rsidP="000B37FE">
            <w:pPr>
              <w:pStyle w:val="TableParagraph"/>
              <w:spacing w:before="0"/>
              <w:ind w:right="490"/>
              <w:jc w:val="both"/>
              <w:rPr>
                <w:rFonts w:asciiTheme="minorHAnsi" w:hAnsiTheme="minorHAnsi" w:cstheme="minorHAnsi"/>
                <w:b/>
                <w:color w:val="0070C0"/>
                <w:w w:val="115"/>
              </w:rPr>
            </w:pPr>
          </w:p>
          <w:p w14:paraId="1AD50163" w14:textId="77777777" w:rsidR="00393235" w:rsidRPr="00D01C33" w:rsidRDefault="00393235" w:rsidP="000B37FE">
            <w:pPr>
              <w:pStyle w:val="TableParagraph"/>
              <w:spacing w:before="0"/>
              <w:ind w:right="490"/>
              <w:jc w:val="both"/>
              <w:rPr>
                <w:rFonts w:asciiTheme="minorHAnsi" w:hAnsiTheme="minorHAnsi" w:cstheme="minorHAnsi"/>
                <w:b/>
                <w:color w:val="0070C0"/>
                <w:w w:val="115"/>
              </w:rPr>
            </w:pPr>
          </w:p>
          <w:p w14:paraId="5F5F8747" w14:textId="77777777" w:rsidR="00F71750" w:rsidRPr="00D01C33" w:rsidRDefault="00F71750" w:rsidP="000B37FE">
            <w:pPr>
              <w:pStyle w:val="TableParagraph"/>
              <w:spacing w:before="0"/>
              <w:ind w:right="490"/>
              <w:rPr>
                <w:rFonts w:asciiTheme="minorHAnsi" w:hAnsiTheme="minorHAnsi" w:cstheme="minorHAnsi"/>
                <w:b/>
                <w:color w:val="0070C0"/>
              </w:rPr>
            </w:pPr>
            <w:r w:rsidRPr="0084136E">
              <w:rPr>
                <w:rFonts w:asciiTheme="minorHAnsi" w:hAnsiTheme="minorHAnsi" w:cstheme="minorHAnsi"/>
                <w:b/>
                <w:color w:val="4B6C90"/>
                <w:w w:val="115"/>
              </w:rPr>
              <w:t>Single</w:t>
            </w:r>
          </w:p>
        </w:tc>
        <w:tc>
          <w:tcPr>
            <w:tcW w:w="4680" w:type="dxa"/>
          </w:tcPr>
          <w:p w14:paraId="6ED59FDB" w14:textId="78A2F7D2" w:rsidR="00F71750" w:rsidRDefault="00F71750" w:rsidP="000B37FE">
            <w:pPr>
              <w:pStyle w:val="TableParagraph"/>
              <w:spacing w:before="0"/>
              <w:ind w:left="0" w:right="490"/>
              <w:jc w:val="both"/>
              <w:rPr>
                <w:rFonts w:asciiTheme="minorHAnsi" w:hAnsiTheme="minorHAnsi" w:cstheme="minorHAnsi"/>
                <w:b/>
                <w:color w:val="0070C0"/>
                <w:w w:val="115"/>
              </w:rPr>
            </w:pPr>
          </w:p>
          <w:p w14:paraId="1F0A30B9" w14:textId="77777777" w:rsidR="00393235" w:rsidRPr="00D01C33" w:rsidRDefault="00393235" w:rsidP="000B37FE">
            <w:pPr>
              <w:pStyle w:val="TableParagraph"/>
              <w:spacing w:before="0"/>
              <w:ind w:left="0" w:right="490"/>
              <w:jc w:val="both"/>
              <w:rPr>
                <w:rFonts w:asciiTheme="minorHAnsi" w:hAnsiTheme="minorHAnsi" w:cstheme="minorHAnsi"/>
                <w:b/>
                <w:color w:val="0070C0"/>
                <w:w w:val="115"/>
              </w:rPr>
            </w:pPr>
          </w:p>
          <w:p w14:paraId="1462986F" w14:textId="77777777" w:rsidR="00F71750" w:rsidRPr="00D01C33" w:rsidRDefault="00F71750" w:rsidP="000B37FE">
            <w:pPr>
              <w:pStyle w:val="TableParagraph"/>
              <w:spacing w:before="0"/>
              <w:ind w:left="0" w:right="490"/>
              <w:jc w:val="both"/>
              <w:rPr>
                <w:rFonts w:asciiTheme="minorHAnsi" w:hAnsiTheme="minorHAnsi" w:cstheme="minorHAnsi"/>
                <w:b/>
                <w:color w:val="0070C0"/>
              </w:rPr>
            </w:pPr>
            <w:r w:rsidRPr="0084136E">
              <w:rPr>
                <w:rFonts w:asciiTheme="minorHAnsi" w:hAnsiTheme="minorHAnsi" w:cstheme="minorHAnsi"/>
                <w:b/>
                <w:color w:val="4B6C90"/>
                <w:w w:val="115"/>
              </w:rPr>
              <w:t xml:space="preserve">Married Filing </w:t>
            </w:r>
            <w:r w:rsidRPr="0084136E">
              <w:rPr>
                <w:rFonts w:asciiTheme="minorHAnsi" w:hAnsiTheme="minorHAnsi" w:cstheme="minorHAnsi"/>
                <w:b/>
                <w:color w:val="4B6C90"/>
                <w:spacing w:val="-4"/>
                <w:w w:val="115"/>
              </w:rPr>
              <w:t>Jointly</w:t>
            </w:r>
          </w:p>
        </w:tc>
      </w:tr>
      <w:tr w:rsidR="00F71750" w:rsidRPr="00D01C33" w14:paraId="1CFBAFF3" w14:textId="77777777" w:rsidTr="00722672">
        <w:trPr>
          <w:trHeight w:val="334"/>
        </w:trPr>
        <w:tc>
          <w:tcPr>
            <w:tcW w:w="2330" w:type="dxa"/>
          </w:tcPr>
          <w:p w14:paraId="070695A0"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10%</w:t>
            </w:r>
          </w:p>
        </w:tc>
        <w:tc>
          <w:tcPr>
            <w:tcW w:w="3548" w:type="dxa"/>
          </w:tcPr>
          <w:p w14:paraId="22A6D559" w14:textId="00BAAC67" w:rsidR="00F71750" w:rsidRPr="00D01C33" w:rsidRDefault="0024675E" w:rsidP="000B37FE">
            <w:pPr>
              <w:ind w:right="490"/>
              <w:rPr>
                <w:rFonts w:asciiTheme="minorHAnsi" w:hAnsiTheme="minorHAnsi" w:cstheme="minorHAnsi"/>
              </w:rPr>
            </w:pPr>
            <w:r w:rsidRPr="00D01C33">
              <w:rPr>
                <w:rFonts w:asciiTheme="minorHAnsi" w:hAnsiTheme="minorHAnsi" w:cstheme="minorHAnsi"/>
              </w:rPr>
              <w:t>$0 to $9,</w:t>
            </w:r>
            <w:r w:rsidR="00A35552">
              <w:rPr>
                <w:rFonts w:asciiTheme="minorHAnsi" w:hAnsiTheme="minorHAnsi" w:cstheme="minorHAnsi"/>
              </w:rPr>
              <w:t>950</w:t>
            </w:r>
          </w:p>
        </w:tc>
        <w:tc>
          <w:tcPr>
            <w:tcW w:w="4680" w:type="dxa"/>
          </w:tcPr>
          <w:p w14:paraId="75536FFA" w14:textId="167B0746" w:rsidR="00F71750" w:rsidRPr="00D01C33" w:rsidRDefault="0024675E" w:rsidP="000B37FE">
            <w:pPr>
              <w:ind w:right="490"/>
              <w:rPr>
                <w:rFonts w:asciiTheme="minorHAnsi" w:hAnsiTheme="minorHAnsi" w:cstheme="minorHAnsi"/>
              </w:rPr>
            </w:pPr>
            <w:r w:rsidRPr="00D01C33">
              <w:rPr>
                <w:rFonts w:asciiTheme="minorHAnsi" w:hAnsiTheme="minorHAnsi" w:cstheme="minorHAnsi"/>
              </w:rPr>
              <w:t>$0 to $19,</w:t>
            </w:r>
            <w:r w:rsidR="00A35552">
              <w:rPr>
                <w:rFonts w:asciiTheme="minorHAnsi" w:hAnsiTheme="minorHAnsi" w:cstheme="minorHAnsi"/>
              </w:rPr>
              <w:t>900</w:t>
            </w:r>
          </w:p>
        </w:tc>
      </w:tr>
      <w:tr w:rsidR="00F71750" w:rsidRPr="00D01C33" w14:paraId="6C99F334" w14:textId="77777777" w:rsidTr="00722672">
        <w:trPr>
          <w:trHeight w:val="355"/>
        </w:trPr>
        <w:tc>
          <w:tcPr>
            <w:tcW w:w="2330" w:type="dxa"/>
          </w:tcPr>
          <w:p w14:paraId="7E99C6EE"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12%</w:t>
            </w:r>
          </w:p>
        </w:tc>
        <w:tc>
          <w:tcPr>
            <w:tcW w:w="3548" w:type="dxa"/>
          </w:tcPr>
          <w:p w14:paraId="6C718781" w14:textId="37F15C4D" w:rsidR="00F71750" w:rsidRPr="00D01C33" w:rsidRDefault="0024675E" w:rsidP="000B37FE">
            <w:pPr>
              <w:ind w:right="490"/>
              <w:rPr>
                <w:rFonts w:asciiTheme="minorHAnsi" w:hAnsiTheme="minorHAnsi" w:cstheme="minorHAnsi"/>
              </w:rPr>
            </w:pPr>
            <w:r w:rsidRPr="00D01C33">
              <w:rPr>
                <w:rFonts w:asciiTheme="minorHAnsi" w:hAnsiTheme="minorHAnsi" w:cstheme="minorHAnsi"/>
              </w:rPr>
              <w:t>$9,</w:t>
            </w:r>
            <w:r w:rsidR="00A35552">
              <w:rPr>
                <w:rFonts w:asciiTheme="minorHAnsi" w:hAnsiTheme="minorHAnsi" w:cstheme="minorHAnsi"/>
              </w:rPr>
              <w:t>951</w:t>
            </w:r>
            <w:r w:rsidRPr="00D01C33">
              <w:rPr>
                <w:rFonts w:asciiTheme="minorHAnsi" w:hAnsiTheme="minorHAnsi" w:cstheme="minorHAnsi"/>
              </w:rPr>
              <w:t xml:space="preserve"> to $40,</w:t>
            </w:r>
            <w:r w:rsidR="00A35552">
              <w:rPr>
                <w:rFonts w:asciiTheme="minorHAnsi" w:hAnsiTheme="minorHAnsi" w:cstheme="minorHAnsi"/>
              </w:rPr>
              <w:t>525</w:t>
            </w:r>
          </w:p>
        </w:tc>
        <w:tc>
          <w:tcPr>
            <w:tcW w:w="4680" w:type="dxa"/>
          </w:tcPr>
          <w:p w14:paraId="5A684132" w14:textId="47C40CE8" w:rsidR="00F71750" w:rsidRPr="00D01C33" w:rsidRDefault="00D01C33" w:rsidP="000B37FE">
            <w:pPr>
              <w:ind w:right="490"/>
              <w:rPr>
                <w:rFonts w:asciiTheme="minorHAnsi" w:hAnsiTheme="minorHAnsi" w:cstheme="minorHAnsi"/>
              </w:rPr>
            </w:pPr>
            <w:r w:rsidRPr="00D01C33">
              <w:rPr>
                <w:rFonts w:asciiTheme="minorHAnsi" w:hAnsiTheme="minorHAnsi" w:cstheme="minorHAnsi"/>
              </w:rPr>
              <w:t>$19,</w:t>
            </w:r>
            <w:r w:rsidR="00A35552">
              <w:rPr>
                <w:rFonts w:asciiTheme="minorHAnsi" w:hAnsiTheme="minorHAnsi" w:cstheme="minorHAnsi"/>
              </w:rPr>
              <w:t>90</w:t>
            </w:r>
            <w:r w:rsidRPr="00D01C33">
              <w:rPr>
                <w:rFonts w:asciiTheme="minorHAnsi" w:hAnsiTheme="minorHAnsi" w:cstheme="minorHAnsi"/>
              </w:rPr>
              <w:t>1 to $8</w:t>
            </w:r>
            <w:r w:rsidR="00A35552">
              <w:rPr>
                <w:rFonts w:asciiTheme="minorHAnsi" w:hAnsiTheme="minorHAnsi" w:cstheme="minorHAnsi"/>
              </w:rPr>
              <w:t>1</w:t>
            </w:r>
            <w:r w:rsidRPr="00D01C33">
              <w:rPr>
                <w:rFonts w:asciiTheme="minorHAnsi" w:hAnsiTheme="minorHAnsi" w:cstheme="minorHAnsi"/>
              </w:rPr>
              <w:t>,</w:t>
            </w:r>
            <w:r w:rsidR="00A35552">
              <w:rPr>
                <w:rFonts w:asciiTheme="minorHAnsi" w:hAnsiTheme="minorHAnsi" w:cstheme="minorHAnsi"/>
              </w:rPr>
              <w:t>050</w:t>
            </w:r>
          </w:p>
        </w:tc>
      </w:tr>
      <w:tr w:rsidR="00F71750" w:rsidRPr="00D01C33" w14:paraId="31B15E71" w14:textId="77777777" w:rsidTr="00722672">
        <w:trPr>
          <w:trHeight w:val="355"/>
        </w:trPr>
        <w:tc>
          <w:tcPr>
            <w:tcW w:w="2330" w:type="dxa"/>
          </w:tcPr>
          <w:p w14:paraId="6913FC23"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22%</w:t>
            </w:r>
          </w:p>
        </w:tc>
        <w:tc>
          <w:tcPr>
            <w:tcW w:w="3548" w:type="dxa"/>
          </w:tcPr>
          <w:p w14:paraId="3EBCBA6F" w14:textId="1745E12F" w:rsidR="00F71750" w:rsidRPr="00D01C33" w:rsidRDefault="0024675E" w:rsidP="000B37FE">
            <w:pPr>
              <w:ind w:right="490"/>
              <w:rPr>
                <w:rFonts w:asciiTheme="minorHAnsi" w:hAnsiTheme="minorHAnsi" w:cstheme="minorHAnsi"/>
              </w:rPr>
            </w:pPr>
            <w:r w:rsidRPr="00D01C33">
              <w:rPr>
                <w:rFonts w:asciiTheme="minorHAnsi" w:hAnsiTheme="minorHAnsi" w:cstheme="minorHAnsi"/>
              </w:rPr>
              <w:t>$40,</w:t>
            </w:r>
            <w:r w:rsidR="00A35552">
              <w:rPr>
                <w:rFonts w:asciiTheme="minorHAnsi" w:hAnsiTheme="minorHAnsi" w:cstheme="minorHAnsi"/>
              </w:rPr>
              <w:t>52</w:t>
            </w:r>
            <w:r w:rsidRPr="00D01C33">
              <w:rPr>
                <w:rFonts w:asciiTheme="minorHAnsi" w:hAnsiTheme="minorHAnsi" w:cstheme="minorHAnsi"/>
              </w:rPr>
              <w:t>6 to $8</w:t>
            </w:r>
            <w:r w:rsidR="00A35552">
              <w:rPr>
                <w:rFonts w:asciiTheme="minorHAnsi" w:hAnsiTheme="minorHAnsi" w:cstheme="minorHAnsi"/>
              </w:rPr>
              <w:t>6</w:t>
            </w:r>
            <w:r w:rsidRPr="00D01C33">
              <w:rPr>
                <w:rFonts w:asciiTheme="minorHAnsi" w:hAnsiTheme="minorHAnsi" w:cstheme="minorHAnsi"/>
              </w:rPr>
              <w:t>,</w:t>
            </w:r>
            <w:r w:rsidR="00A35552">
              <w:rPr>
                <w:rFonts w:asciiTheme="minorHAnsi" w:hAnsiTheme="minorHAnsi" w:cstheme="minorHAnsi"/>
              </w:rPr>
              <w:t>37</w:t>
            </w:r>
            <w:r w:rsidRPr="00D01C33">
              <w:rPr>
                <w:rFonts w:asciiTheme="minorHAnsi" w:hAnsiTheme="minorHAnsi" w:cstheme="minorHAnsi"/>
              </w:rPr>
              <w:t>5</w:t>
            </w:r>
          </w:p>
        </w:tc>
        <w:tc>
          <w:tcPr>
            <w:tcW w:w="4680" w:type="dxa"/>
          </w:tcPr>
          <w:p w14:paraId="6949077E" w14:textId="2CD24534" w:rsidR="00F71750" w:rsidRPr="00D01C33" w:rsidRDefault="00D01C33" w:rsidP="000B37FE">
            <w:pPr>
              <w:ind w:right="490"/>
              <w:rPr>
                <w:rFonts w:asciiTheme="minorHAnsi" w:hAnsiTheme="minorHAnsi" w:cstheme="minorHAnsi"/>
              </w:rPr>
            </w:pPr>
            <w:r w:rsidRPr="00D01C33">
              <w:rPr>
                <w:rFonts w:asciiTheme="minorHAnsi" w:hAnsiTheme="minorHAnsi" w:cstheme="minorHAnsi"/>
              </w:rPr>
              <w:t>$8</w:t>
            </w:r>
            <w:r w:rsidR="00A35552">
              <w:rPr>
                <w:rFonts w:asciiTheme="minorHAnsi" w:hAnsiTheme="minorHAnsi" w:cstheme="minorHAnsi"/>
              </w:rPr>
              <w:t>1</w:t>
            </w:r>
            <w:r w:rsidRPr="00D01C33">
              <w:rPr>
                <w:rFonts w:asciiTheme="minorHAnsi" w:hAnsiTheme="minorHAnsi" w:cstheme="minorHAnsi"/>
              </w:rPr>
              <w:t>,</w:t>
            </w:r>
            <w:r w:rsidR="00A35552">
              <w:rPr>
                <w:rFonts w:asciiTheme="minorHAnsi" w:hAnsiTheme="minorHAnsi" w:cstheme="minorHAnsi"/>
              </w:rPr>
              <w:t>05</w:t>
            </w:r>
            <w:r w:rsidRPr="00D01C33">
              <w:rPr>
                <w:rFonts w:asciiTheme="minorHAnsi" w:hAnsiTheme="minorHAnsi" w:cstheme="minorHAnsi"/>
              </w:rPr>
              <w:t>1 to $17</w:t>
            </w:r>
            <w:r w:rsidR="00A35552">
              <w:rPr>
                <w:rFonts w:asciiTheme="minorHAnsi" w:hAnsiTheme="minorHAnsi" w:cstheme="minorHAnsi"/>
              </w:rPr>
              <w:t>2</w:t>
            </w:r>
            <w:r w:rsidRPr="00D01C33">
              <w:rPr>
                <w:rFonts w:asciiTheme="minorHAnsi" w:hAnsiTheme="minorHAnsi" w:cstheme="minorHAnsi"/>
              </w:rPr>
              <w:t>,</w:t>
            </w:r>
            <w:r w:rsidR="00A35552">
              <w:rPr>
                <w:rFonts w:asciiTheme="minorHAnsi" w:hAnsiTheme="minorHAnsi" w:cstheme="minorHAnsi"/>
              </w:rPr>
              <w:t>7</w:t>
            </w:r>
            <w:r w:rsidRPr="00D01C33">
              <w:rPr>
                <w:rFonts w:asciiTheme="minorHAnsi" w:hAnsiTheme="minorHAnsi" w:cstheme="minorHAnsi"/>
              </w:rPr>
              <w:t>50</w:t>
            </w:r>
          </w:p>
        </w:tc>
      </w:tr>
      <w:tr w:rsidR="00F71750" w:rsidRPr="00D01C33" w14:paraId="1B66872A" w14:textId="77777777" w:rsidTr="00722672">
        <w:trPr>
          <w:trHeight w:val="355"/>
        </w:trPr>
        <w:tc>
          <w:tcPr>
            <w:tcW w:w="2330" w:type="dxa"/>
          </w:tcPr>
          <w:p w14:paraId="7C80DD94"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24%</w:t>
            </w:r>
          </w:p>
        </w:tc>
        <w:tc>
          <w:tcPr>
            <w:tcW w:w="3548" w:type="dxa"/>
          </w:tcPr>
          <w:p w14:paraId="76C1705F" w14:textId="440A7F4B" w:rsidR="00F71750" w:rsidRPr="00D01C33" w:rsidRDefault="0024675E" w:rsidP="000B37FE">
            <w:pPr>
              <w:ind w:right="490"/>
              <w:rPr>
                <w:rFonts w:asciiTheme="minorHAnsi" w:hAnsiTheme="minorHAnsi" w:cstheme="minorHAnsi"/>
              </w:rPr>
            </w:pPr>
            <w:r w:rsidRPr="00D01C33">
              <w:rPr>
                <w:rFonts w:asciiTheme="minorHAnsi" w:hAnsiTheme="minorHAnsi" w:cstheme="minorHAnsi"/>
              </w:rPr>
              <w:t>$8</w:t>
            </w:r>
            <w:r w:rsidR="00A35552">
              <w:rPr>
                <w:rFonts w:asciiTheme="minorHAnsi" w:hAnsiTheme="minorHAnsi" w:cstheme="minorHAnsi"/>
              </w:rPr>
              <w:t>6</w:t>
            </w:r>
            <w:r w:rsidRPr="00D01C33">
              <w:rPr>
                <w:rFonts w:asciiTheme="minorHAnsi" w:hAnsiTheme="minorHAnsi" w:cstheme="minorHAnsi"/>
              </w:rPr>
              <w:t>,</w:t>
            </w:r>
            <w:r w:rsidR="00A35552">
              <w:rPr>
                <w:rFonts w:asciiTheme="minorHAnsi" w:hAnsiTheme="minorHAnsi" w:cstheme="minorHAnsi"/>
              </w:rPr>
              <w:t>376</w:t>
            </w:r>
            <w:r w:rsidRPr="00D01C33">
              <w:rPr>
                <w:rFonts w:asciiTheme="minorHAnsi" w:hAnsiTheme="minorHAnsi" w:cstheme="minorHAnsi"/>
              </w:rPr>
              <w:t xml:space="preserve"> to $16</w:t>
            </w:r>
            <w:r w:rsidR="00A35552">
              <w:rPr>
                <w:rFonts w:asciiTheme="minorHAnsi" w:hAnsiTheme="minorHAnsi" w:cstheme="minorHAnsi"/>
              </w:rPr>
              <w:t>4</w:t>
            </w:r>
            <w:r w:rsidRPr="00D01C33">
              <w:rPr>
                <w:rFonts w:asciiTheme="minorHAnsi" w:hAnsiTheme="minorHAnsi" w:cstheme="minorHAnsi"/>
              </w:rPr>
              <w:t>,</w:t>
            </w:r>
            <w:r w:rsidR="00A35552">
              <w:rPr>
                <w:rFonts w:asciiTheme="minorHAnsi" w:hAnsiTheme="minorHAnsi" w:cstheme="minorHAnsi"/>
              </w:rPr>
              <w:t>925</w:t>
            </w:r>
          </w:p>
        </w:tc>
        <w:tc>
          <w:tcPr>
            <w:tcW w:w="4680" w:type="dxa"/>
          </w:tcPr>
          <w:p w14:paraId="7600E538" w14:textId="6B37C73A" w:rsidR="00F71750" w:rsidRPr="00D01C33" w:rsidRDefault="00D01C33" w:rsidP="000B37FE">
            <w:pPr>
              <w:ind w:right="490"/>
              <w:rPr>
                <w:rFonts w:asciiTheme="minorHAnsi" w:hAnsiTheme="minorHAnsi" w:cstheme="minorHAnsi"/>
              </w:rPr>
            </w:pPr>
            <w:r w:rsidRPr="00D01C33">
              <w:rPr>
                <w:rFonts w:asciiTheme="minorHAnsi" w:hAnsiTheme="minorHAnsi" w:cstheme="minorHAnsi"/>
              </w:rPr>
              <w:t>$17</w:t>
            </w:r>
            <w:r w:rsidR="00A35552">
              <w:rPr>
                <w:rFonts w:asciiTheme="minorHAnsi" w:hAnsiTheme="minorHAnsi" w:cstheme="minorHAnsi"/>
              </w:rPr>
              <w:t>2</w:t>
            </w:r>
            <w:r w:rsidRPr="00D01C33">
              <w:rPr>
                <w:rFonts w:asciiTheme="minorHAnsi" w:hAnsiTheme="minorHAnsi" w:cstheme="minorHAnsi"/>
              </w:rPr>
              <w:t>,</w:t>
            </w:r>
            <w:r w:rsidR="00B333C9">
              <w:rPr>
                <w:rFonts w:asciiTheme="minorHAnsi" w:hAnsiTheme="minorHAnsi" w:cstheme="minorHAnsi"/>
              </w:rPr>
              <w:t>7</w:t>
            </w:r>
            <w:r w:rsidRPr="00D01C33">
              <w:rPr>
                <w:rFonts w:asciiTheme="minorHAnsi" w:hAnsiTheme="minorHAnsi" w:cstheme="minorHAnsi"/>
              </w:rPr>
              <w:t>51 to $32</w:t>
            </w:r>
            <w:r w:rsidR="00B333C9">
              <w:rPr>
                <w:rFonts w:asciiTheme="minorHAnsi" w:hAnsiTheme="minorHAnsi" w:cstheme="minorHAnsi"/>
              </w:rPr>
              <w:t>9</w:t>
            </w:r>
            <w:r w:rsidRPr="00D01C33">
              <w:rPr>
                <w:rFonts w:asciiTheme="minorHAnsi" w:hAnsiTheme="minorHAnsi" w:cstheme="minorHAnsi"/>
              </w:rPr>
              <w:t>,</w:t>
            </w:r>
            <w:r w:rsidR="00B333C9">
              <w:rPr>
                <w:rFonts w:asciiTheme="minorHAnsi" w:hAnsiTheme="minorHAnsi" w:cstheme="minorHAnsi"/>
              </w:rPr>
              <w:t>850</w:t>
            </w:r>
          </w:p>
        </w:tc>
      </w:tr>
      <w:tr w:rsidR="00F71750" w:rsidRPr="00D01C33" w14:paraId="676A8359" w14:textId="77777777" w:rsidTr="00722672">
        <w:trPr>
          <w:trHeight w:val="355"/>
        </w:trPr>
        <w:tc>
          <w:tcPr>
            <w:tcW w:w="2330" w:type="dxa"/>
          </w:tcPr>
          <w:p w14:paraId="475C0670"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32%</w:t>
            </w:r>
          </w:p>
        </w:tc>
        <w:tc>
          <w:tcPr>
            <w:tcW w:w="3548" w:type="dxa"/>
          </w:tcPr>
          <w:p w14:paraId="306FC8A9" w14:textId="623178E8" w:rsidR="00F71750" w:rsidRPr="00D01C33" w:rsidRDefault="0024675E" w:rsidP="000B37FE">
            <w:pPr>
              <w:ind w:right="490"/>
              <w:rPr>
                <w:rFonts w:asciiTheme="minorHAnsi" w:hAnsiTheme="minorHAnsi" w:cstheme="minorHAnsi"/>
              </w:rPr>
            </w:pPr>
            <w:r w:rsidRPr="00D01C33">
              <w:rPr>
                <w:rFonts w:asciiTheme="minorHAnsi" w:hAnsiTheme="minorHAnsi" w:cstheme="minorHAnsi"/>
              </w:rPr>
              <w:t>$16</w:t>
            </w:r>
            <w:r w:rsidR="00B333C9">
              <w:rPr>
                <w:rFonts w:asciiTheme="minorHAnsi" w:hAnsiTheme="minorHAnsi" w:cstheme="minorHAnsi"/>
              </w:rPr>
              <w:t>4</w:t>
            </w:r>
            <w:r w:rsidRPr="00D01C33">
              <w:rPr>
                <w:rFonts w:asciiTheme="minorHAnsi" w:hAnsiTheme="minorHAnsi" w:cstheme="minorHAnsi"/>
              </w:rPr>
              <w:t>,</w:t>
            </w:r>
            <w:r w:rsidR="00B333C9">
              <w:rPr>
                <w:rFonts w:asciiTheme="minorHAnsi" w:hAnsiTheme="minorHAnsi" w:cstheme="minorHAnsi"/>
              </w:rPr>
              <w:t>926</w:t>
            </w:r>
            <w:r w:rsidRPr="00D01C33">
              <w:rPr>
                <w:rFonts w:asciiTheme="minorHAnsi" w:hAnsiTheme="minorHAnsi" w:cstheme="minorHAnsi"/>
              </w:rPr>
              <w:t xml:space="preserve"> to $20</w:t>
            </w:r>
            <w:r w:rsidR="00B333C9">
              <w:rPr>
                <w:rFonts w:asciiTheme="minorHAnsi" w:hAnsiTheme="minorHAnsi" w:cstheme="minorHAnsi"/>
              </w:rPr>
              <w:t>9</w:t>
            </w:r>
            <w:r w:rsidRPr="00D01C33">
              <w:rPr>
                <w:rFonts w:asciiTheme="minorHAnsi" w:hAnsiTheme="minorHAnsi" w:cstheme="minorHAnsi"/>
              </w:rPr>
              <w:t>,</w:t>
            </w:r>
            <w:r w:rsidR="00B333C9">
              <w:rPr>
                <w:rFonts w:asciiTheme="minorHAnsi" w:hAnsiTheme="minorHAnsi" w:cstheme="minorHAnsi"/>
              </w:rPr>
              <w:t>425</w:t>
            </w:r>
          </w:p>
        </w:tc>
        <w:tc>
          <w:tcPr>
            <w:tcW w:w="4680" w:type="dxa"/>
          </w:tcPr>
          <w:p w14:paraId="4B71CA4B" w14:textId="609F1807" w:rsidR="00F71750" w:rsidRPr="00D01C33" w:rsidRDefault="00D01C33" w:rsidP="000B37FE">
            <w:pPr>
              <w:ind w:right="490"/>
              <w:rPr>
                <w:rFonts w:asciiTheme="minorHAnsi" w:hAnsiTheme="minorHAnsi" w:cstheme="minorHAnsi"/>
              </w:rPr>
            </w:pPr>
            <w:r w:rsidRPr="00D01C33">
              <w:rPr>
                <w:rFonts w:asciiTheme="minorHAnsi" w:hAnsiTheme="minorHAnsi" w:cstheme="minorHAnsi"/>
              </w:rPr>
              <w:t>$32</w:t>
            </w:r>
            <w:r w:rsidR="00B333C9">
              <w:rPr>
                <w:rFonts w:asciiTheme="minorHAnsi" w:hAnsiTheme="minorHAnsi" w:cstheme="minorHAnsi"/>
              </w:rPr>
              <w:t>9</w:t>
            </w:r>
            <w:r w:rsidRPr="00D01C33">
              <w:rPr>
                <w:rFonts w:asciiTheme="minorHAnsi" w:hAnsiTheme="minorHAnsi" w:cstheme="minorHAnsi"/>
              </w:rPr>
              <w:t xml:space="preserve">, </w:t>
            </w:r>
            <w:r w:rsidR="00B333C9">
              <w:rPr>
                <w:rFonts w:asciiTheme="minorHAnsi" w:hAnsiTheme="minorHAnsi" w:cstheme="minorHAnsi"/>
              </w:rPr>
              <w:t>851</w:t>
            </w:r>
            <w:r w:rsidRPr="00D01C33">
              <w:rPr>
                <w:rFonts w:asciiTheme="minorHAnsi" w:hAnsiTheme="minorHAnsi" w:cstheme="minorHAnsi"/>
              </w:rPr>
              <w:t xml:space="preserve"> to $41</w:t>
            </w:r>
            <w:r w:rsidR="00B333C9">
              <w:rPr>
                <w:rFonts w:asciiTheme="minorHAnsi" w:hAnsiTheme="minorHAnsi" w:cstheme="minorHAnsi"/>
              </w:rPr>
              <w:t>8</w:t>
            </w:r>
            <w:r w:rsidRPr="00D01C33">
              <w:rPr>
                <w:rFonts w:asciiTheme="minorHAnsi" w:hAnsiTheme="minorHAnsi" w:cstheme="minorHAnsi"/>
              </w:rPr>
              <w:t>,</w:t>
            </w:r>
            <w:r w:rsidR="00B333C9">
              <w:rPr>
                <w:rFonts w:asciiTheme="minorHAnsi" w:hAnsiTheme="minorHAnsi" w:cstheme="minorHAnsi"/>
              </w:rPr>
              <w:t>850</w:t>
            </w:r>
          </w:p>
        </w:tc>
      </w:tr>
      <w:tr w:rsidR="00F71750" w:rsidRPr="00D01C33" w14:paraId="2ED20507" w14:textId="77777777" w:rsidTr="00722672">
        <w:trPr>
          <w:trHeight w:val="355"/>
        </w:trPr>
        <w:tc>
          <w:tcPr>
            <w:tcW w:w="2330" w:type="dxa"/>
          </w:tcPr>
          <w:p w14:paraId="7C3DE0F1"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35%</w:t>
            </w:r>
          </w:p>
        </w:tc>
        <w:tc>
          <w:tcPr>
            <w:tcW w:w="3548" w:type="dxa"/>
          </w:tcPr>
          <w:p w14:paraId="6CEB882A" w14:textId="4B66D0C4" w:rsidR="00F71750" w:rsidRPr="00D01C33" w:rsidRDefault="0024675E" w:rsidP="000B37FE">
            <w:pPr>
              <w:ind w:right="490"/>
              <w:rPr>
                <w:rFonts w:asciiTheme="minorHAnsi" w:hAnsiTheme="minorHAnsi" w:cstheme="minorHAnsi"/>
              </w:rPr>
            </w:pPr>
            <w:r w:rsidRPr="00D01C33">
              <w:rPr>
                <w:rFonts w:asciiTheme="minorHAnsi" w:hAnsiTheme="minorHAnsi" w:cstheme="minorHAnsi"/>
              </w:rPr>
              <w:t>$20</w:t>
            </w:r>
            <w:r w:rsidR="00B333C9">
              <w:rPr>
                <w:rFonts w:asciiTheme="minorHAnsi" w:hAnsiTheme="minorHAnsi" w:cstheme="minorHAnsi"/>
              </w:rPr>
              <w:t>9,426</w:t>
            </w:r>
            <w:r w:rsidRPr="00D01C33">
              <w:rPr>
                <w:rFonts w:asciiTheme="minorHAnsi" w:hAnsiTheme="minorHAnsi" w:cstheme="minorHAnsi"/>
              </w:rPr>
              <w:t xml:space="preserve"> to $5</w:t>
            </w:r>
            <w:r w:rsidR="00B333C9">
              <w:rPr>
                <w:rFonts w:asciiTheme="minorHAnsi" w:hAnsiTheme="minorHAnsi" w:cstheme="minorHAnsi"/>
              </w:rPr>
              <w:t>23,600</w:t>
            </w:r>
          </w:p>
        </w:tc>
        <w:tc>
          <w:tcPr>
            <w:tcW w:w="4680" w:type="dxa"/>
          </w:tcPr>
          <w:p w14:paraId="22D3B4F6" w14:textId="0940C1E7" w:rsidR="00F71750" w:rsidRPr="00D01C33" w:rsidRDefault="00D01C33" w:rsidP="000B37FE">
            <w:pPr>
              <w:ind w:right="490"/>
              <w:rPr>
                <w:rFonts w:asciiTheme="minorHAnsi" w:hAnsiTheme="minorHAnsi" w:cstheme="minorHAnsi"/>
              </w:rPr>
            </w:pPr>
            <w:r w:rsidRPr="00D01C33">
              <w:rPr>
                <w:rFonts w:asciiTheme="minorHAnsi" w:hAnsiTheme="minorHAnsi" w:cstheme="minorHAnsi"/>
              </w:rPr>
              <w:t>$</w:t>
            </w:r>
            <w:r w:rsidR="00B333C9">
              <w:rPr>
                <w:rFonts w:asciiTheme="minorHAnsi" w:hAnsiTheme="minorHAnsi" w:cstheme="minorHAnsi"/>
              </w:rPr>
              <w:t>418,851</w:t>
            </w:r>
            <w:r w:rsidRPr="00D01C33">
              <w:rPr>
                <w:rFonts w:asciiTheme="minorHAnsi" w:hAnsiTheme="minorHAnsi" w:cstheme="minorHAnsi"/>
              </w:rPr>
              <w:t xml:space="preserve"> to $</w:t>
            </w:r>
            <w:r w:rsidR="00B333C9">
              <w:rPr>
                <w:rFonts w:asciiTheme="minorHAnsi" w:hAnsiTheme="minorHAnsi" w:cstheme="minorHAnsi"/>
              </w:rPr>
              <w:t>628,300</w:t>
            </w:r>
          </w:p>
        </w:tc>
      </w:tr>
      <w:tr w:rsidR="00F71750" w:rsidRPr="00860547" w14:paraId="31F5D2BF" w14:textId="77777777" w:rsidTr="00722672">
        <w:trPr>
          <w:trHeight w:val="303"/>
        </w:trPr>
        <w:tc>
          <w:tcPr>
            <w:tcW w:w="2330" w:type="dxa"/>
          </w:tcPr>
          <w:p w14:paraId="4A17B835" w14:textId="77777777" w:rsidR="00F71750" w:rsidRPr="00D01C33" w:rsidRDefault="00F71750" w:rsidP="000B37FE">
            <w:pPr>
              <w:pStyle w:val="TableParagraph"/>
              <w:spacing w:before="0"/>
              <w:ind w:right="490"/>
              <w:rPr>
                <w:rFonts w:asciiTheme="minorHAnsi" w:hAnsiTheme="minorHAnsi" w:cstheme="minorHAnsi"/>
              </w:rPr>
            </w:pPr>
            <w:r w:rsidRPr="00D01C33">
              <w:rPr>
                <w:rFonts w:asciiTheme="minorHAnsi" w:hAnsiTheme="minorHAnsi" w:cstheme="minorHAnsi"/>
                <w:color w:val="231F20"/>
              </w:rPr>
              <w:t>37%</w:t>
            </w:r>
          </w:p>
        </w:tc>
        <w:tc>
          <w:tcPr>
            <w:tcW w:w="3548" w:type="dxa"/>
          </w:tcPr>
          <w:p w14:paraId="0B029ADB" w14:textId="389C1F32" w:rsidR="00F71750" w:rsidRPr="00D01C33" w:rsidRDefault="0024675E" w:rsidP="000B37FE">
            <w:pPr>
              <w:ind w:right="490"/>
              <w:rPr>
                <w:rFonts w:asciiTheme="minorHAnsi" w:hAnsiTheme="minorHAnsi" w:cstheme="minorHAnsi"/>
              </w:rPr>
            </w:pPr>
            <w:r w:rsidRPr="00D01C33">
              <w:rPr>
                <w:rFonts w:asciiTheme="minorHAnsi" w:hAnsiTheme="minorHAnsi" w:cstheme="minorHAnsi"/>
              </w:rPr>
              <w:t>$5</w:t>
            </w:r>
            <w:r w:rsidR="00B333C9">
              <w:rPr>
                <w:rFonts w:asciiTheme="minorHAnsi" w:hAnsiTheme="minorHAnsi" w:cstheme="minorHAnsi"/>
              </w:rPr>
              <w:t>23,601</w:t>
            </w:r>
            <w:r w:rsidRPr="00D01C33">
              <w:rPr>
                <w:rFonts w:asciiTheme="minorHAnsi" w:hAnsiTheme="minorHAnsi" w:cstheme="minorHAnsi"/>
              </w:rPr>
              <w:t>+</w:t>
            </w:r>
          </w:p>
        </w:tc>
        <w:tc>
          <w:tcPr>
            <w:tcW w:w="4680" w:type="dxa"/>
          </w:tcPr>
          <w:p w14:paraId="7DFB6F9D" w14:textId="370ABFA1" w:rsidR="00F71750" w:rsidRPr="00860547" w:rsidRDefault="00D01C33" w:rsidP="000B37FE">
            <w:pPr>
              <w:ind w:right="490"/>
              <w:rPr>
                <w:rFonts w:asciiTheme="minorHAnsi" w:hAnsiTheme="minorHAnsi" w:cstheme="minorHAnsi"/>
              </w:rPr>
            </w:pPr>
            <w:r w:rsidRPr="00D01C33">
              <w:rPr>
                <w:rFonts w:asciiTheme="minorHAnsi" w:hAnsiTheme="minorHAnsi" w:cstheme="minorHAnsi"/>
              </w:rPr>
              <w:t>$62</w:t>
            </w:r>
            <w:r w:rsidR="00B333C9">
              <w:rPr>
                <w:rFonts w:asciiTheme="minorHAnsi" w:hAnsiTheme="minorHAnsi" w:cstheme="minorHAnsi"/>
              </w:rPr>
              <w:t>8,301</w:t>
            </w:r>
            <w:r w:rsidR="00F71750" w:rsidRPr="00D01C33">
              <w:rPr>
                <w:rFonts w:asciiTheme="minorHAnsi" w:hAnsiTheme="minorHAnsi" w:cstheme="minorHAnsi"/>
              </w:rPr>
              <w:t>+</w:t>
            </w:r>
          </w:p>
        </w:tc>
      </w:tr>
    </w:tbl>
    <w:p w14:paraId="3EA2B4D7" w14:textId="520CABE3" w:rsidR="00F71750" w:rsidRPr="00860547" w:rsidRDefault="00393235" w:rsidP="00F71750">
      <w:pPr>
        <w:pStyle w:val="BodyText"/>
        <w:ind w:left="0" w:right="490"/>
        <w:rPr>
          <w:rFonts w:asciiTheme="minorHAnsi" w:hAnsiTheme="minorHAnsi" w:cstheme="minorHAnsi"/>
          <w:sz w:val="24"/>
          <w:szCs w:val="24"/>
        </w:rPr>
      </w:pPr>
      <w:r w:rsidRPr="00D35B18">
        <w:rPr>
          <w:rFonts w:ascii="Calibri" w:hAnsi="Calibri" w:cs="Calibri"/>
          <w:noProof/>
        </w:rPr>
        <mc:AlternateContent>
          <mc:Choice Requires="wps">
            <w:drawing>
              <wp:anchor distT="0" distB="0" distL="0" distR="0" simplePos="0" relativeHeight="251671552" behindDoc="1" locked="0" layoutInCell="1" allowOverlap="1" wp14:anchorId="58C44456" wp14:editId="2EEDDD7B">
                <wp:simplePos x="0" y="0"/>
                <wp:positionH relativeFrom="page">
                  <wp:posOffset>745635</wp:posOffset>
                </wp:positionH>
                <wp:positionV relativeFrom="paragraph">
                  <wp:posOffset>370840</wp:posOffset>
                </wp:positionV>
                <wp:extent cx="6284595" cy="0"/>
                <wp:effectExtent l="0" t="0" r="14605"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54CF"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29.2pt" to="55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UtpwEAADMDAAAOAAAAZHJzL2Uyb0RvYy54bWysUtuO0zAQfUfiHyy/06QVeyFquoIuy8vC&#10;Vlr4gKntNBaOx5pxm/Tvsb1tub0hXkZz8/GcM7O8mwYnDobYom/lfFZLYbxCbf2uld++Pry5lYIj&#10;eA0OvWnl0bC8W71+tRxDYxbYo9OGRALx3IyhlX2MoakqVr0ZgGcYjE/FDmmAmELaVZpgTOiDqxZ1&#10;fV2NSDoQKsOcsvcvRbkq+F1nVHzqOjZRuFam2WKxVOw222q1hGZHEHqrTmPAP0wxgPXp0wvUPUQQ&#10;e7J/QQ1WETJ2caZwqLDrrDKFQ2Izr/9g89xDMIVLEofDRSb+f7Dqy2HtN5RHV5N/Do+ovnMSpRoD&#10;N5diDjhsSGzHz6jTGmEfsfCdOhry48RETEXW40VWM0WhUvJ6cfv26t2VFOpcq6A5PwzE8ZPBQWSn&#10;lc76zBgaODxyzINAc27JaY8P1rmyNefFmE5ucVPX5QWjszpXcx/Tbrt2JA6QFr9+/+FmPc+7Tmi/&#10;tRHuvS5ovQH98eRHsO7FT/3On9TIAuS74maL+rihDJejtJkCfLqivPpf49L189ZXPwAAAP//AwBQ&#10;SwMEFAAGAAgAAAAhALzAPB7eAAAADwEAAA8AAABkcnMvZG93bnJldi54bWxMT8FOwzAMvSPxD5GR&#10;uLE0aGVT13RCTBw40u7AMWu8tqJxqiTbCl+PJw5wsfXs5+f3yu3sRnHGEAdPGtQiA4HUejtQp2Hf&#10;vD6sQcRkyJrRE2r4wgjb6vamNIX1F3rHc506wSIUC6OhT2kqpIxtj87EhZ+QeHf0wZnEMHTSBnNh&#10;cTfKxyx7ks4MxB96M+FLj+1nfXIagqdGNfIol6Z+k/vdd/4xYK71/d2823B53oBIOKe/C7hmYP9Q&#10;sbGDP5GNYmSsVkumasjX3K8Ela0UiMPvRFal/J+j+gEAAP//AwBQSwECLQAUAAYACAAAACEAtoM4&#10;kv4AAADhAQAAEwAAAAAAAAAAAAAAAAAAAAAAW0NvbnRlbnRfVHlwZXNdLnhtbFBLAQItABQABgAI&#10;AAAAIQA4/SH/1gAAAJQBAAALAAAAAAAAAAAAAAAAAC8BAABfcmVscy8ucmVsc1BLAQItABQABgAI&#10;AAAAIQDBmJUtpwEAADMDAAAOAAAAAAAAAAAAAAAAAC4CAABkcnMvZTJvRG9jLnhtbFBLAQItABQA&#10;BgAIAAAAIQC8wDwe3gAAAA8BAAAPAAAAAAAAAAAAAAAAAAEEAABkcnMvZG93bnJldi54bWxQSwUG&#10;AAAAAAQABADzAAAADAUAAAAA&#10;" strokecolor="#cab7c1" strokeweight="1pt">
                <o:lock v:ext="edit" shapetype="f"/>
                <w10:wrap type="topAndBottom" anchorx="page"/>
              </v:line>
            </w:pict>
          </mc:Fallback>
        </mc:AlternateContent>
      </w:r>
    </w:p>
    <w:p w14:paraId="55912F91" w14:textId="1A9E9D7E" w:rsidR="00465307" w:rsidRPr="00465307" w:rsidRDefault="00465307" w:rsidP="00465307">
      <w:pPr>
        <w:pStyle w:val="BodyText"/>
        <w:ind w:right="490"/>
        <w:jc w:val="both"/>
        <w:rPr>
          <w:rFonts w:asciiTheme="minorHAnsi" w:hAnsiTheme="minorHAnsi" w:cstheme="minorHAnsi"/>
          <w:color w:val="231F20"/>
          <w:sz w:val="24"/>
          <w:szCs w:val="24"/>
        </w:rPr>
      </w:pPr>
    </w:p>
    <w:p w14:paraId="1B390FA5" w14:textId="506703DE" w:rsidR="00A35552" w:rsidRDefault="00A35552" w:rsidP="00A42F60">
      <w:pPr>
        <w:rPr>
          <w:rFonts w:ascii="Calibri" w:hAnsi="Calibri" w:cs="Calibri"/>
          <w:color w:val="000000"/>
        </w:rPr>
      </w:pPr>
      <w:r w:rsidRPr="00A35552">
        <w:rPr>
          <w:rFonts w:ascii="Calibri" w:hAnsi="Calibri" w:cs="Calibri"/>
          <w:color w:val="000000"/>
        </w:rPr>
        <w:t xml:space="preserve">These modest changes to the tax brackets also mean that wage earners may fall into lower brackets. </w:t>
      </w:r>
      <w:r w:rsidR="00B66FD6">
        <w:rPr>
          <w:rFonts w:ascii="Calibri" w:hAnsi="Calibri" w:cs="Calibri"/>
          <w:color w:val="000000"/>
        </w:rPr>
        <w:br/>
      </w:r>
      <w:r w:rsidRPr="00A35552">
        <w:rPr>
          <w:rFonts w:ascii="Calibri" w:hAnsi="Calibri" w:cs="Calibri"/>
          <w:color w:val="000000"/>
        </w:rPr>
        <w:t xml:space="preserve">Here is one example. A single filer at $86,000 in taxable income would fall into the 24% bracket for </w:t>
      </w:r>
      <w:r w:rsidR="00B66FD6">
        <w:rPr>
          <w:rFonts w:ascii="Calibri" w:hAnsi="Calibri" w:cs="Calibri"/>
          <w:color w:val="000000"/>
        </w:rPr>
        <w:br/>
      </w:r>
      <w:r w:rsidRPr="00A35552">
        <w:rPr>
          <w:rFonts w:ascii="Calibri" w:hAnsi="Calibri" w:cs="Calibri"/>
          <w:color w:val="000000"/>
        </w:rPr>
        <w:t>tax year 2020. The filer would be in the 22% tax bracket in 2021.</w:t>
      </w:r>
    </w:p>
    <w:p w14:paraId="1C8C1B1F" w14:textId="77777777" w:rsidR="00A42F60" w:rsidRPr="00A35552" w:rsidRDefault="00A42F60" w:rsidP="00A42F60"/>
    <w:p w14:paraId="7719E489" w14:textId="45F947BB" w:rsidR="00A35552" w:rsidRDefault="00A35552" w:rsidP="00A42F60">
      <w:pPr>
        <w:rPr>
          <w:rFonts w:ascii="Calibri" w:hAnsi="Calibri" w:cs="Calibri"/>
          <w:color w:val="000000"/>
        </w:rPr>
      </w:pPr>
      <w:r w:rsidRPr="00A35552">
        <w:rPr>
          <w:rFonts w:ascii="Calibri" w:hAnsi="Calibri" w:cs="Calibri"/>
          <w:color w:val="000000"/>
        </w:rPr>
        <w:t>These new rates are scheduled to expire in 2025 unless Congress acts to make them permanent. Exemptions also changed under the new tax code.</w:t>
      </w:r>
    </w:p>
    <w:p w14:paraId="0741B81D" w14:textId="77777777" w:rsidR="00A42F60" w:rsidRPr="00A35552" w:rsidRDefault="00A42F60" w:rsidP="00A42F60"/>
    <w:p w14:paraId="3761536E" w14:textId="1B0C3A36" w:rsidR="00A35552" w:rsidRDefault="00A35552" w:rsidP="00A35552">
      <w:pPr>
        <w:rPr>
          <w:rFonts w:ascii="Calibri" w:hAnsi="Calibri" w:cs="Calibri"/>
          <w:color w:val="000000"/>
          <w:vertAlign w:val="superscript"/>
        </w:rPr>
      </w:pPr>
      <w:r w:rsidRPr="00A35552">
        <w:rPr>
          <w:rFonts w:ascii="Calibri" w:hAnsi="Calibri" w:cs="Calibri"/>
          <w:color w:val="000000"/>
        </w:rPr>
        <w:t>Here is an overview of the standard deductions since 2019:</w:t>
      </w:r>
      <w:r w:rsidR="00E52BF6" w:rsidRPr="00E52BF6">
        <w:rPr>
          <w:rFonts w:ascii="Calibri" w:hAnsi="Calibri" w:cs="Calibri"/>
          <w:color w:val="000000"/>
          <w:vertAlign w:val="superscript"/>
        </w:rPr>
        <w:t>4</w:t>
      </w:r>
    </w:p>
    <w:p w14:paraId="3F21E5EF" w14:textId="77777777" w:rsidR="00B66FD6" w:rsidRPr="00A35552" w:rsidRDefault="00B66FD6" w:rsidP="00A35552"/>
    <w:tbl>
      <w:tblPr>
        <w:tblpPr w:leftFromText="180" w:rightFromText="180" w:vertAnchor="text" w:horzAnchor="margin" w:tblpXSpec="center" w:tblpY="158"/>
        <w:tblW w:w="0" w:type="auto"/>
        <w:tblLayout w:type="fixed"/>
        <w:tblCellMar>
          <w:left w:w="0" w:type="dxa"/>
          <w:right w:w="0" w:type="dxa"/>
        </w:tblCellMar>
        <w:tblLook w:val="01E0" w:firstRow="1" w:lastRow="1" w:firstColumn="1" w:lastColumn="1" w:noHBand="0" w:noVBand="0"/>
      </w:tblPr>
      <w:tblGrid>
        <w:gridCol w:w="3566"/>
        <w:gridCol w:w="2049"/>
        <w:gridCol w:w="1919"/>
        <w:gridCol w:w="1564"/>
      </w:tblGrid>
      <w:tr w:rsidR="00722672" w:rsidRPr="00D01C33" w14:paraId="4DD87B3A" w14:textId="77777777" w:rsidTr="00722672">
        <w:trPr>
          <w:trHeight w:val="368"/>
        </w:trPr>
        <w:tc>
          <w:tcPr>
            <w:tcW w:w="3566" w:type="dxa"/>
          </w:tcPr>
          <w:p w14:paraId="0F025E04" w14:textId="77777777" w:rsidR="00722672" w:rsidRPr="00D01C33" w:rsidRDefault="00722672" w:rsidP="00722672">
            <w:pPr>
              <w:pStyle w:val="TableParagraph"/>
              <w:spacing w:before="0"/>
              <w:ind w:right="490"/>
              <w:rPr>
                <w:rFonts w:asciiTheme="minorHAnsi" w:hAnsiTheme="minorHAnsi" w:cstheme="minorHAnsi"/>
                <w:b/>
                <w:color w:val="0070C0"/>
              </w:rPr>
            </w:pPr>
            <w:r w:rsidRPr="0084136E">
              <w:rPr>
                <w:rFonts w:asciiTheme="minorHAnsi" w:hAnsiTheme="minorHAnsi" w:cstheme="minorHAnsi"/>
                <w:b/>
                <w:color w:val="4B6C90"/>
                <w:w w:val="110"/>
              </w:rPr>
              <w:t>Tax Year</w:t>
            </w:r>
          </w:p>
        </w:tc>
        <w:tc>
          <w:tcPr>
            <w:tcW w:w="2049" w:type="dxa"/>
          </w:tcPr>
          <w:p w14:paraId="68DD6776" w14:textId="77777777" w:rsidR="00722672" w:rsidRPr="00D01C33" w:rsidRDefault="00722672" w:rsidP="00722672">
            <w:pPr>
              <w:pStyle w:val="TableParagraph"/>
              <w:spacing w:before="0"/>
              <w:ind w:right="490"/>
              <w:rPr>
                <w:rFonts w:asciiTheme="minorHAnsi" w:hAnsiTheme="minorHAnsi" w:cstheme="minorHAnsi"/>
                <w:b/>
                <w:color w:val="0070C0"/>
              </w:rPr>
            </w:pPr>
            <w:r w:rsidRPr="0084136E">
              <w:rPr>
                <w:rFonts w:asciiTheme="minorHAnsi" w:hAnsiTheme="minorHAnsi" w:cstheme="minorHAnsi"/>
                <w:b/>
                <w:color w:val="4B6C90"/>
              </w:rPr>
              <w:t>2019</w:t>
            </w:r>
          </w:p>
        </w:tc>
        <w:tc>
          <w:tcPr>
            <w:tcW w:w="1919" w:type="dxa"/>
          </w:tcPr>
          <w:p w14:paraId="10D719EC" w14:textId="77777777" w:rsidR="00722672" w:rsidRPr="00D01C33" w:rsidRDefault="00722672" w:rsidP="00722672">
            <w:pPr>
              <w:pStyle w:val="TableParagraph"/>
              <w:spacing w:before="0"/>
              <w:ind w:right="490"/>
              <w:rPr>
                <w:rFonts w:asciiTheme="minorHAnsi" w:hAnsiTheme="minorHAnsi" w:cstheme="minorHAnsi"/>
                <w:b/>
                <w:color w:val="0070C0"/>
              </w:rPr>
            </w:pPr>
            <w:r w:rsidRPr="0084136E">
              <w:rPr>
                <w:rFonts w:asciiTheme="minorHAnsi" w:hAnsiTheme="minorHAnsi" w:cstheme="minorHAnsi"/>
                <w:b/>
                <w:color w:val="4B6C90"/>
              </w:rPr>
              <w:t>2020</w:t>
            </w:r>
          </w:p>
        </w:tc>
        <w:tc>
          <w:tcPr>
            <w:tcW w:w="1564" w:type="dxa"/>
          </w:tcPr>
          <w:p w14:paraId="270A3679" w14:textId="77777777" w:rsidR="00722672" w:rsidRPr="00D01C33" w:rsidRDefault="00722672" w:rsidP="00722672">
            <w:pPr>
              <w:pStyle w:val="TableParagraph"/>
              <w:spacing w:before="0"/>
              <w:ind w:right="490"/>
              <w:rPr>
                <w:rFonts w:asciiTheme="minorHAnsi" w:hAnsiTheme="minorHAnsi" w:cstheme="minorHAnsi"/>
                <w:b/>
                <w:color w:val="0070C0"/>
              </w:rPr>
            </w:pPr>
            <w:r w:rsidRPr="0084136E">
              <w:rPr>
                <w:rFonts w:asciiTheme="minorHAnsi" w:hAnsiTheme="minorHAnsi" w:cstheme="minorHAnsi"/>
                <w:b/>
                <w:color w:val="4B6C90"/>
              </w:rPr>
              <w:t>2021</w:t>
            </w:r>
          </w:p>
        </w:tc>
      </w:tr>
      <w:tr w:rsidR="00722672" w:rsidRPr="00D01C33" w14:paraId="71818509" w14:textId="77777777" w:rsidTr="00722672">
        <w:trPr>
          <w:trHeight w:val="290"/>
        </w:trPr>
        <w:tc>
          <w:tcPr>
            <w:tcW w:w="3566" w:type="dxa"/>
          </w:tcPr>
          <w:p w14:paraId="04FC2D8D" w14:textId="77777777" w:rsidR="00722672" w:rsidRPr="00D01C33" w:rsidRDefault="00722672" w:rsidP="00722672">
            <w:pPr>
              <w:pStyle w:val="TableParagraph"/>
              <w:spacing w:before="0"/>
              <w:ind w:right="490"/>
              <w:rPr>
                <w:rFonts w:asciiTheme="minorHAnsi" w:hAnsiTheme="minorHAnsi" w:cstheme="minorHAnsi"/>
              </w:rPr>
            </w:pPr>
            <w:r w:rsidRPr="00D01C33">
              <w:rPr>
                <w:rFonts w:asciiTheme="minorHAnsi" w:hAnsiTheme="minorHAnsi" w:cstheme="minorHAnsi"/>
                <w:color w:val="231F20"/>
              </w:rPr>
              <w:t>Single</w:t>
            </w:r>
          </w:p>
        </w:tc>
        <w:tc>
          <w:tcPr>
            <w:tcW w:w="2049" w:type="dxa"/>
          </w:tcPr>
          <w:p w14:paraId="596C26A7"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$12,200</w:t>
            </w:r>
          </w:p>
        </w:tc>
        <w:tc>
          <w:tcPr>
            <w:tcW w:w="1919" w:type="dxa"/>
          </w:tcPr>
          <w:p w14:paraId="2513C9DC"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$12,400</w:t>
            </w:r>
          </w:p>
        </w:tc>
        <w:tc>
          <w:tcPr>
            <w:tcW w:w="1564" w:type="dxa"/>
          </w:tcPr>
          <w:p w14:paraId="0333B3B3" w14:textId="77777777" w:rsidR="00722672" w:rsidRPr="00D01C33" w:rsidRDefault="00722672" w:rsidP="00722672">
            <w:pPr>
              <w:ind w:right="490"/>
              <w:rPr>
                <w:rFonts w:asciiTheme="minorHAnsi" w:hAnsiTheme="minorHAnsi" w:cstheme="minorHAnsi"/>
              </w:rPr>
            </w:pPr>
            <w:r>
              <w:rPr>
                <w:rFonts w:asciiTheme="minorHAnsi" w:hAnsiTheme="minorHAnsi" w:cstheme="minorHAnsi"/>
              </w:rPr>
              <w:t>$12,550</w:t>
            </w:r>
          </w:p>
        </w:tc>
      </w:tr>
      <w:tr w:rsidR="00722672" w:rsidRPr="00D01C33" w14:paraId="04455742" w14:textId="77777777" w:rsidTr="00722672">
        <w:trPr>
          <w:trHeight w:val="308"/>
        </w:trPr>
        <w:tc>
          <w:tcPr>
            <w:tcW w:w="3566" w:type="dxa"/>
          </w:tcPr>
          <w:p w14:paraId="10D98E28" w14:textId="77777777" w:rsidR="00722672" w:rsidRPr="00D01C33" w:rsidRDefault="00722672" w:rsidP="00722672">
            <w:pPr>
              <w:pStyle w:val="TableParagraph"/>
              <w:spacing w:before="0"/>
              <w:ind w:right="490"/>
              <w:rPr>
                <w:rFonts w:asciiTheme="minorHAnsi" w:hAnsiTheme="minorHAnsi" w:cstheme="minorHAnsi"/>
              </w:rPr>
            </w:pPr>
            <w:r w:rsidRPr="00D01C33">
              <w:rPr>
                <w:rFonts w:asciiTheme="minorHAnsi" w:hAnsiTheme="minorHAnsi" w:cstheme="minorHAnsi"/>
                <w:color w:val="231F20"/>
              </w:rPr>
              <w:t>Married filing jointly</w:t>
            </w:r>
          </w:p>
        </w:tc>
        <w:tc>
          <w:tcPr>
            <w:tcW w:w="2049" w:type="dxa"/>
          </w:tcPr>
          <w:p w14:paraId="052F3D85"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$24,400</w:t>
            </w:r>
          </w:p>
        </w:tc>
        <w:tc>
          <w:tcPr>
            <w:tcW w:w="1919" w:type="dxa"/>
          </w:tcPr>
          <w:p w14:paraId="0057D882"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$24,800</w:t>
            </w:r>
          </w:p>
        </w:tc>
        <w:tc>
          <w:tcPr>
            <w:tcW w:w="1564" w:type="dxa"/>
          </w:tcPr>
          <w:p w14:paraId="4519A7C0" w14:textId="77777777" w:rsidR="00722672" w:rsidRPr="00D01C33" w:rsidRDefault="00722672" w:rsidP="00722672">
            <w:pPr>
              <w:ind w:right="490"/>
              <w:rPr>
                <w:rFonts w:asciiTheme="minorHAnsi" w:hAnsiTheme="minorHAnsi" w:cstheme="minorHAnsi"/>
              </w:rPr>
            </w:pPr>
            <w:r>
              <w:rPr>
                <w:rFonts w:asciiTheme="minorHAnsi" w:hAnsiTheme="minorHAnsi" w:cstheme="minorHAnsi"/>
              </w:rPr>
              <w:t>$25,100</w:t>
            </w:r>
          </w:p>
        </w:tc>
      </w:tr>
      <w:tr w:rsidR="00722672" w:rsidRPr="00D01C33" w14:paraId="5E9B6CC3" w14:textId="77777777" w:rsidTr="00722672">
        <w:trPr>
          <w:trHeight w:val="308"/>
        </w:trPr>
        <w:tc>
          <w:tcPr>
            <w:tcW w:w="3566" w:type="dxa"/>
          </w:tcPr>
          <w:p w14:paraId="73312D0E" w14:textId="77777777" w:rsidR="00722672" w:rsidRPr="00D01C33" w:rsidRDefault="00722672" w:rsidP="00722672">
            <w:pPr>
              <w:pStyle w:val="TableParagraph"/>
              <w:spacing w:before="0"/>
              <w:ind w:right="490"/>
              <w:rPr>
                <w:rFonts w:asciiTheme="minorHAnsi" w:hAnsiTheme="minorHAnsi" w:cstheme="minorHAnsi"/>
              </w:rPr>
            </w:pPr>
            <w:r w:rsidRPr="00D01C33">
              <w:rPr>
                <w:rFonts w:asciiTheme="minorHAnsi" w:hAnsiTheme="minorHAnsi" w:cstheme="minorHAnsi"/>
                <w:color w:val="231F20"/>
              </w:rPr>
              <w:t>Married filing separately</w:t>
            </w:r>
          </w:p>
        </w:tc>
        <w:tc>
          <w:tcPr>
            <w:tcW w:w="2049" w:type="dxa"/>
          </w:tcPr>
          <w:p w14:paraId="409A6720"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$12,200</w:t>
            </w:r>
          </w:p>
        </w:tc>
        <w:tc>
          <w:tcPr>
            <w:tcW w:w="1919" w:type="dxa"/>
          </w:tcPr>
          <w:p w14:paraId="7E7305F8"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$12,</w:t>
            </w:r>
            <w:r>
              <w:rPr>
                <w:rFonts w:asciiTheme="minorHAnsi" w:hAnsiTheme="minorHAnsi" w:cstheme="minorHAnsi"/>
              </w:rPr>
              <w:t>4</w:t>
            </w:r>
            <w:r w:rsidRPr="00D01C33">
              <w:rPr>
                <w:rFonts w:asciiTheme="minorHAnsi" w:hAnsiTheme="minorHAnsi" w:cstheme="minorHAnsi"/>
              </w:rPr>
              <w:t>00</w:t>
            </w:r>
          </w:p>
        </w:tc>
        <w:tc>
          <w:tcPr>
            <w:tcW w:w="1564" w:type="dxa"/>
          </w:tcPr>
          <w:p w14:paraId="1DB90903" w14:textId="77777777" w:rsidR="00722672" w:rsidRPr="00D01C33" w:rsidRDefault="00722672" w:rsidP="00722672">
            <w:pPr>
              <w:ind w:right="490"/>
              <w:rPr>
                <w:rFonts w:asciiTheme="minorHAnsi" w:hAnsiTheme="minorHAnsi" w:cstheme="minorHAnsi"/>
              </w:rPr>
            </w:pPr>
            <w:r>
              <w:rPr>
                <w:rFonts w:asciiTheme="minorHAnsi" w:hAnsiTheme="minorHAnsi" w:cstheme="minorHAnsi"/>
              </w:rPr>
              <w:t>$12,550</w:t>
            </w:r>
          </w:p>
        </w:tc>
      </w:tr>
      <w:tr w:rsidR="00722672" w:rsidRPr="00860547" w14:paraId="0A2F34C0" w14:textId="77777777" w:rsidTr="00722672">
        <w:trPr>
          <w:trHeight w:val="308"/>
        </w:trPr>
        <w:tc>
          <w:tcPr>
            <w:tcW w:w="3566" w:type="dxa"/>
          </w:tcPr>
          <w:p w14:paraId="0BA86948" w14:textId="77777777" w:rsidR="00722672" w:rsidRPr="00D01C33" w:rsidRDefault="00722672" w:rsidP="00722672">
            <w:pPr>
              <w:pStyle w:val="TableParagraph"/>
              <w:spacing w:before="0"/>
              <w:ind w:right="490"/>
              <w:rPr>
                <w:rFonts w:asciiTheme="minorHAnsi" w:hAnsiTheme="minorHAnsi" w:cstheme="minorHAnsi"/>
              </w:rPr>
            </w:pPr>
            <w:r w:rsidRPr="00D01C33">
              <w:rPr>
                <w:rFonts w:asciiTheme="minorHAnsi" w:hAnsiTheme="minorHAnsi" w:cstheme="minorHAnsi"/>
                <w:color w:val="231F20"/>
              </w:rPr>
              <w:t>Head of household</w:t>
            </w:r>
          </w:p>
        </w:tc>
        <w:tc>
          <w:tcPr>
            <w:tcW w:w="2049" w:type="dxa"/>
          </w:tcPr>
          <w:p w14:paraId="56DBACF9"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$18,350</w:t>
            </w:r>
          </w:p>
        </w:tc>
        <w:tc>
          <w:tcPr>
            <w:tcW w:w="1919" w:type="dxa"/>
          </w:tcPr>
          <w:p w14:paraId="4487A0AD" w14:textId="77777777" w:rsidR="00722672" w:rsidRPr="00D01C33" w:rsidRDefault="00722672" w:rsidP="00722672">
            <w:pPr>
              <w:ind w:right="490"/>
              <w:rPr>
                <w:rFonts w:asciiTheme="minorHAnsi" w:hAnsiTheme="minorHAnsi" w:cstheme="minorHAnsi"/>
              </w:rPr>
            </w:pPr>
            <w:r w:rsidRPr="00D01C33">
              <w:rPr>
                <w:rFonts w:asciiTheme="minorHAnsi" w:hAnsiTheme="minorHAnsi" w:cstheme="minorHAnsi"/>
              </w:rPr>
              <w:t>$18,650</w:t>
            </w:r>
          </w:p>
        </w:tc>
        <w:tc>
          <w:tcPr>
            <w:tcW w:w="1564" w:type="dxa"/>
          </w:tcPr>
          <w:p w14:paraId="222BECFC" w14:textId="77777777" w:rsidR="00722672" w:rsidRPr="00D01C33" w:rsidRDefault="00722672" w:rsidP="00722672">
            <w:pPr>
              <w:ind w:right="490"/>
              <w:rPr>
                <w:rFonts w:asciiTheme="minorHAnsi" w:hAnsiTheme="minorHAnsi" w:cstheme="minorHAnsi"/>
              </w:rPr>
            </w:pPr>
            <w:r>
              <w:rPr>
                <w:rFonts w:asciiTheme="minorHAnsi" w:hAnsiTheme="minorHAnsi" w:cstheme="minorHAnsi"/>
              </w:rPr>
              <w:t>$18,800</w:t>
            </w:r>
          </w:p>
        </w:tc>
      </w:tr>
      <w:tr w:rsidR="00722672" w:rsidRPr="00860547" w14:paraId="29CA9C69" w14:textId="77777777" w:rsidTr="00722672">
        <w:trPr>
          <w:trHeight w:val="308"/>
        </w:trPr>
        <w:tc>
          <w:tcPr>
            <w:tcW w:w="3566" w:type="dxa"/>
          </w:tcPr>
          <w:p w14:paraId="50075BE0" w14:textId="77777777" w:rsidR="00722672" w:rsidRPr="00D01C33" w:rsidRDefault="00722672" w:rsidP="00722672">
            <w:pPr>
              <w:pStyle w:val="TableParagraph"/>
              <w:spacing w:before="0"/>
              <w:ind w:left="0" w:right="490"/>
              <w:rPr>
                <w:rFonts w:asciiTheme="minorHAnsi" w:hAnsiTheme="minorHAnsi" w:cstheme="minorHAnsi"/>
                <w:color w:val="231F20"/>
              </w:rPr>
            </w:pPr>
          </w:p>
        </w:tc>
        <w:tc>
          <w:tcPr>
            <w:tcW w:w="2049" w:type="dxa"/>
          </w:tcPr>
          <w:p w14:paraId="455C8E12" w14:textId="77777777" w:rsidR="00722672" w:rsidRPr="00D01C33" w:rsidRDefault="00722672" w:rsidP="00722672">
            <w:pPr>
              <w:ind w:right="490"/>
              <w:rPr>
                <w:rFonts w:asciiTheme="minorHAnsi" w:hAnsiTheme="minorHAnsi" w:cstheme="minorHAnsi"/>
              </w:rPr>
            </w:pPr>
          </w:p>
        </w:tc>
        <w:tc>
          <w:tcPr>
            <w:tcW w:w="1919" w:type="dxa"/>
          </w:tcPr>
          <w:p w14:paraId="0AC31F62" w14:textId="77777777" w:rsidR="00722672" w:rsidRPr="00D01C33" w:rsidRDefault="00722672" w:rsidP="00722672">
            <w:pPr>
              <w:ind w:right="490"/>
              <w:rPr>
                <w:rFonts w:asciiTheme="minorHAnsi" w:hAnsiTheme="minorHAnsi" w:cstheme="minorHAnsi"/>
              </w:rPr>
            </w:pPr>
          </w:p>
        </w:tc>
        <w:tc>
          <w:tcPr>
            <w:tcW w:w="1564" w:type="dxa"/>
          </w:tcPr>
          <w:p w14:paraId="7A97BA14" w14:textId="77777777" w:rsidR="00722672" w:rsidRDefault="00722672" w:rsidP="00722672">
            <w:pPr>
              <w:ind w:right="490"/>
              <w:rPr>
                <w:rFonts w:asciiTheme="minorHAnsi" w:hAnsiTheme="minorHAnsi" w:cstheme="minorHAnsi"/>
              </w:rPr>
            </w:pPr>
          </w:p>
        </w:tc>
      </w:tr>
      <w:tr w:rsidR="00722672" w:rsidRPr="00860547" w14:paraId="793EA0AD" w14:textId="77777777" w:rsidTr="00722672">
        <w:trPr>
          <w:trHeight w:val="262"/>
        </w:trPr>
        <w:tc>
          <w:tcPr>
            <w:tcW w:w="3566" w:type="dxa"/>
          </w:tcPr>
          <w:p w14:paraId="5CDF2775" w14:textId="77777777" w:rsidR="00722672" w:rsidRPr="00860547" w:rsidRDefault="00722672" w:rsidP="00722672">
            <w:pPr>
              <w:pStyle w:val="TableParagraph"/>
              <w:spacing w:before="0"/>
              <w:ind w:right="490"/>
              <w:rPr>
                <w:rFonts w:asciiTheme="minorHAnsi" w:hAnsiTheme="minorHAnsi" w:cstheme="minorHAnsi"/>
                <w:highlight w:val="yellow"/>
              </w:rPr>
            </w:pPr>
          </w:p>
        </w:tc>
        <w:tc>
          <w:tcPr>
            <w:tcW w:w="2049" w:type="dxa"/>
          </w:tcPr>
          <w:p w14:paraId="77F99FFF" w14:textId="77777777" w:rsidR="00722672" w:rsidRPr="00860547" w:rsidRDefault="00722672" w:rsidP="00722672">
            <w:pPr>
              <w:ind w:right="490"/>
              <w:rPr>
                <w:rFonts w:asciiTheme="minorHAnsi" w:hAnsiTheme="minorHAnsi" w:cstheme="minorHAnsi"/>
                <w:highlight w:val="yellow"/>
              </w:rPr>
            </w:pPr>
          </w:p>
        </w:tc>
        <w:tc>
          <w:tcPr>
            <w:tcW w:w="1919" w:type="dxa"/>
          </w:tcPr>
          <w:p w14:paraId="3E7BFA70" w14:textId="77777777" w:rsidR="00722672" w:rsidRPr="00860547" w:rsidRDefault="00722672" w:rsidP="00722672">
            <w:pPr>
              <w:ind w:right="490"/>
              <w:rPr>
                <w:rFonts w:asciiTheme="minorHAnsi" w:hAnsiTheme="minorHAnsi" w:cstheme="minorHAnsi"/>
              </w:rPr>
            </w:pPr>
          </w:p>
        </w:tc>
        <w:tc>
          <w:tcPr>
            <w:tcW w:w="1564" w:type="dxa"/>
          </w:tcPr>
          <w:p w14:paraId="35437DD2" w14:textId="77777777" w:rsidR="00722672" w:rsidRPr="00860547" w:rsidRDefault="00722672" w:rsidP="00722672">
            <w:pPr>
              <w:ind w:right="490"/>
              <w:rPr>
                <w:rFonts w:asciiTheme="minorHAnsi" w:hAnsiTheme="minorHAnsi" w:cstheme="minorHAnsi"/>
              </w:rPr>
            </w:pPr>
          </w:p>
        </w:tc>
      </w:tr>
    </w:tbl>
    <w:p w14:paraId="0C9119EE" w14:textId="77777777" w:rsidR="00F71750" w:rsidRPr="00860547" w:rsidRDefault="00F71750" w:rsidP="00F71750">
      <w:pPr>
        <w:ind w:right="490"/>
        <w:rPr>
          <w:rFonts w:asciiTheme="minorHAnsi" w:hAnsiTheme="minorHAnsi" w:cstheme="minorHAnsi"/>
        </w:rPr>
        <w:sectPr w:rsidR="00F71750" w:rsidRPr="00860547" w:rsidSect="00BB48AA">
          <w:headerReference w:type="default" r:id="rId9"/>
          <w:footerReference w:type="default" r:id="rId10"/>
          <w:pgSz w:w="12240" w:h="15840"/>
          <w:pgMar w:top="864" w:right="922" w:bottom="864" w:left="922" w:header="1022" w:footer="677" w:gutter="0"/>
          <w:pgNumType w:start="2"/>
          <w:cols w:space="720"/>
          <w:titlePg/>
          <w:docGrid w:linePitch="326"/>
        </w:sectPr>
      </w:pPr>
    </w:p>
    <w:p w14:paraId="2B9531FE" w14:textId="200F1E62" w:rsidR="00012537" w:rsidRPr="0084136E" w:rsidRDefault="00012537" w:rsidP="00012537">
      <w:pPr>
        <w:pStyle w:val="NormalWeb"/>
        <w:spacing w:before="0" w:beforeAutospacing="0" w:after="0" w:afterAutospacing="0"/>
        <w:jc w:val="center"/>
        <w:rPr>
          <w:rFonts w:ascii="Calibri" w:hAnsi="Calibri" w:cs="Calibri"/>
          <w:b/>
          <w:bCs/>
          <w:color w:val="4B6C90"/>
        </w:rPr>
      </w:pPr>
      <w:r w:rsidRPr="0084136E">
        <w:rPr>
          <w:rFonts w:ascii="Calibri" w:hAnsi="Calibri" w:cs="Calibri"/>
          <w:b/>
          <w:bCs/>
          <w:color w:val="4B6C90"/>
        </w:rPr>
        <w:lastRenderedPageBreak/>
        <w:t>IMPORTANT DEADLINES*</w:t>
      </w:r>
    </w:p>
    <w:p w14:paraId="07428973" w14:textId="77777777" w:rsidR="00B71FEC" w:rsidRDefault="00B71FEC" w:rsidP="00012537">
      <w:pPr>
        <w:pStyle w:val="NormalWeb"/>
        <w:spacing w:before="0" w:beforeAutospacing="0" w:after="0" w:afterAutospacing="0"/>
        <w:jc w:val="center"/>
        <w:rPr>
          <w:rFonts w:ascii="Calibri" w:hAnsi="Calibri" w:cs="Calibri"/>
          <w:b/>
          <w:bCs/>
          <w:color w:val="000000"/>
        </w:rPr>
      </w:pPr>
    </w:p>
    <w:p w14:paraId="15ABA8A7" w14:textId="0B81A278" w:rsidR="00012537" w:rsidRDefault="00012537" w:rsidP="00012537">
      <w:pPr>
        <w:pStyle w:val="NormalWeb"/>
        <w:spacing w:before="0" w:beforeAutospacing="0" w:after="0" w:afterAutospacing="0"/>
        <w:jc w:val="center"/>
      </w:pPr>
      <w:r>
        <w:rPr>
          <w:rFonts w:ascii="Calibri" w:hAnsi="Calibri" w:cs="Calibri"/>
          <w:b/>
          <w:bCs/>
          <w:color w:val="000000"/>
        </w:rPr>
        <w:t>JANUARY 15, 2022 </w:t>
      </w:r>
    </w:p>
    <w:p w14:paraId="7571DE2A" w14:textId="77777777" w:rsidR="00012537" w:rsidRDefault="00012537" w:rsidP="00012537">
      <w:pPr>
        <w:pStyle w:val="NormalWeb"/>
        <w:spacing w:before="0" w:beforeAutospacing="0" w:after="0" w:afterAutospacing="0"/>
        <w:jc w:val="center"/>
      </w:pPr>
      <w:r>
        <w:rPr>
          <w:rFonts w:ascii="Calibri" w:hAnsi="Calibri" w:cs="Calibri"/>
          <w:color w:val="000000"/>
        </w:rPr>
        <w:t>If you are self-employed or have other fourth-quarter income that requires you to pay quarterly estimated taxes, postmark this payment by January 15, 2022.</w:t>
      </w:r>
    </w:p>
    <w:p w14:paraId="2C64E6BF" w14:textId="77777777" w:rsidR="00012537" w:rsidRDefault="00012537" w:rsidP="00012537"/>
    <w:p w14:paraId="35F50009" w14:textId="77777777" w:rsidR="00012537" w:rsidRDefault="00012537" w:rsidP="00012537">
      <w:pPr>
        <w:pStyle w:val="NormalWeb"/>
        <w:spacing w:before="0" w:beforeAutospacing="0" w:after="0" w:afterAutospacing="0"/>
        <w:jc w:val="center"/>
      </w:pPr>
      <w:r>
        <w:rPr>
          <w:rFonts w:ascii="Calibri" w:hAnsi="Calibri" w:cs="Calibri"/>
          <w:b/>
          <w:bCs/>
          <w:color w:val="000000"/>
        </w:rPr>
        <w:t>APRIL 15, 2022 </w:t>
      </w:r>
    </w:p>
    <w:p w14:paraId="130F1A29" w14:textId="77777777" w:rsidR="00012537" w:rsidRDefault="00012537" w:rsidP="00012537">
      <w:pPr>
        <w:pStyle w:val="NormalWeb"/>
        <w:spacing w:before="0" w:beforeAutospacing="0" w:after="0" w:afterAutospacing="0"/>
        <w:jc w:val="center"/>
      </w:pPr>
      <w:r>
        <w:rPr>
          <w:rFonts w:ascii="Calibri" w:hAnsi="Calibri" w:cs="Calibri"/>
          <w:color w:val="000000"/>
        </w:rPr>
        <w:t>FIRST QUARTER 2022 ESTIMATED TAX PAYMENT DUE </w:t>
      </w:r>
    </w:p>
    <w:p w14:paraId="456B55E9" w14:textId="77777777" w:rsidR="00012537" w:rsidRDefault="00012537" w:rsidP="00012537">
      <w:pPr>
        <w:pStyle w:val="NormalWeb"/>
        <w:spacing w:before="0" w:beforeAutospacing="0" w:after="0" w:afterAutospacing="0"/>
        <w:jc w:val="center"/>
        <w:rPr>
          <w:rFonts w:ascii="Calibri" w:hAnsi="Calibri" w:cs="Calibri"/>
          <w:color w:val="000000"/>
        </w:rPr>
      </w:pPr>
    </w:p>
    <w:p w14:paraId="41CB9C45" w14:textId="77777777" w:rsidR="00012537" w:rsidRDefault="00012537" w:rsidP="00012537">
      <w:pPr>
        <w:pStyle w:val="NormalWeb"/>
        <w:spacing w:before="0" w:beforeAutospacing="0" w:after="0" w:afterAutospacing="0"/>
        <w:jc w:val="center"/>
      </w:pPr>
      <w:r>
        <w:rPr>
          <w:rFonts w:ascii="Calibri" w:hAnsi="Calibri" w:cs="Calibri"/>
          <w:color w:val="000000"/>
        </w:rPr>
        <w:t>2021 INDIVIDUAL TAX RETURNS DUE</w:t>
      </w:r>
    </w:p>
    <w:p w14:paraId="3B36C7A0" w14:textId="77777777" w:rsidR="00012537" w:rsidRDefault="00012537" w:rsidP="00012537">
      <w:pPr>
        <w:pStyle w:val="NormalWeb"/>
        <w:spacing w:before="0" w:beforeAutospacing="0" w:after="0" w:afterAutospacing="0"/>
        <w:jc w:val="center"/>
        <w:rPr>
          <w:rFonts w:ascii="Calibri" w:hAnsi="Calibri" w:cs="Calibri"/>
          <w:color w:val="000000"/>
        </w:rPr>
      </w:pPr>
      <w:r>
        <w:rPr>
          <w:rFonts w:ascii="Calibri" w:hAnsi="Calibri" w:cs="Calibri"/>
          <w:color w:val="000000"/>
        </w:rPr>
        <w:t>Most taxpayers have until April 15 to file tax returns. Email or postmark your returns by midnight on this date.</w:t>
      </w:r>
    </w:p>
    <w:p w14:paraId="3F9526AF" w14:textId="77777777" w:rsidR="00012537" w:rsidRDefault="00012537" w:rsidP="00012537">
      <w:pPr>
        <w:pStyle w:val="NormalWeb"/>
        <w:spacing w:before="0" w:beforeAutospacing="0" w:after="0" w:afterAutospacing="0"/>
        <w:jc w:val="center"/>
      </w:pPr>
    </w:p>
    <w:p w14:paraId="57F9CE15" w14:textId="77777777" w:rsidR="00012537" w:rsidRDefault="00012537" w:rsidP="00012537">
      <w:pPr>
        <w:pStyle w:val="NormalWeb"/>
        <w:spacing w:before="0" w:beforeAutospacing="0" w:after="0" w:afterAutospacing="0"/>
        <w:jc w:val="center"/>
      </w:pPr>
      <w:r>
        <w:rPr>
          <w:rFonts w:ascii="Calibri" w:hAnsi="Calibri" w:cs="Calibri"/>
          <w:color w:val="000000"/>
        </w:rPr>
        <w:t>LAST DAY TO MAKE A 2021 IRA CONTRIBUTION</w:t>
      </w:r>
    </w:p>
    <w:p w14:paraId="2563D28C" w14:textId="77777777" w:rsidR="00012537" w:rsidRDefault="00012537" w:rsidP="00012537">
      <w:pPr>
        <w:pStyle w:val="NormalWeb"/>
        <w:spacing w:before="0" w:beforeAutospacing="0" w:after="0" w:afterAutospacing="0"/>
        <w:jc w:val="center"/>
        <w:rPr>
          <w:rFonts w:ascii="Calibri" w:hAnsi="Calibri" w:cs="Calibri"/>
          <w:color w:val="000000"/>
        </w:rPr>
      </w:pPr>
      <w:r>
        <w:rPr>
          <w:rFonts w:ascii="Calibri" w:hAnsi="Calibri" w:cs="Calibri"/>
          <w:color w:val="000000"/>
        </w:rPr>
        <w:t>If you have not already contributed fully to your retirement account for 2021, April 15 is your last chance to fund a traditional IRA or a Roth IRA.</w:t>
      </w:r>
    </w:p>
    <w:p w14:paraId="01911350" w14:textId="77777777" w:rsidR="00012537" w:rsidRDefault="00012537" w:rsidP="00012537">
      <w:pPr>
        <w:pStyle w:val="NormalWeb"/>
        <w:spacing w:before="0" w:beforeAutospacing="0" w:after="0" w:afterAutospacing="0"/>
        <w:jc w:val="center"/>
      </w:pPr>
    </w:p>
    <w:p w14:paraId="359E9E5C" w14:textId="77777777" w:rsidR="00012537" w:rsidRDefault="00012537" w:rsidP="00012537">
      <w:pPr>
        <w:pStyle w:val="NormalWeb"/>
        <w:spacing w:before="0" w:beforeAutospacing="0" w:after="0" w:afterAutospacing="0"/>
        <w:jc w:val="center"/>
      </w:pPr>
      <w:r>
        <w:rPr>
          <w:rFonts w:ascii="Calibri" w:hAnsi="Calibri" w:cs="Calibri"/>
          <w:color w:val="000000"/>
        </w:rPr>
        <w:t>INDIVIDUAL TAX RETURN EXTENSION FORM DUE</w:t>
      </w:r>
    </w:p>
    <w:p w14:paraId="212DEF0A" w14:textId="77777777" w:rsidR="00012537" w:rsidRDefault="00012537" w:rsidP="00012537">
      <w:pPr>
        <w:pStyle w:val="NormalWeb"/>
        <w:spacing w:before="0" w:beforeAutospacing="0" w:after="0" w:afterAutospacing="0"/>
        <w:jc w:val="center"/>
      </w:pPr>
      <w:r>
        <w:rPr>
          <w:rFonts w:ascii="Calibri" w:hAnsi="Calibri" w:cs="Calibri"/>
          <w:color w:val="000000"/>
        </w:rPr>
        <w:t>If you cannot file your taxes on time, file your request for an extension by April 15 to push your deadline back to October 15, 2022.</w:t>
      </w:r>
    </w:p>
    <w:p w14:paraId="7A3819BD" w14:textId="77777777" w:rsidR="00012537" w:rsidRDefault="00012537" w:rsidP="00012537"/>
    <w:p w14:paraId="55404FF6" w14:textId="77777777" w:rsidR="00012537" w:rsidRDefault="00012537" w:rsidP="00012537">
      <w:pPr>
        <w:pStyle w:val="NormalWeb"/>
        <w:spacing w:before="0" w:beforeAutospacing="0" w:after="0" w:afterAutospacing="0"/>
        <w:jc w:val="center"/>
      </w:pPr>
      <w:r>
        <w:rPr>
          <w:rFonts w:ascii="Calibri" w:hAnsi="Calibri" w:cs="Calibri"/>
          <w:b/>
          <w:bCs/>
          <w:color w:val="000000"/>
        </w:rPr>
        <w:t>JUNE 15, 2022</w:t>
      </w:r>
    </w:p>
    <w:p w14:paraId="1F486437" w14:textId="77777777" w:rsidR="00012537" w:rsidRDefault="00012537" w:rsidP="00012537">
      <w:pPr>
        <w:pStyle w:val="NormalWeb"/>
        <w:spacing w:before="0" w:beforeAutospacing="0" w:after="0" w:afterAutospacing="0"/>
        <w:jc w:val="center"/>
      </w:pPr>
      <w:r>
        <w:rPr>
          <w:rFonts w:ascii="Calibri" w:hAnsi="Calibri" w:cs="Calibri"/>
          <w:color w:val="000000"/>
        </w:rPr>
        <w:t>SECOND QUARTER 2022 ESTIMATED TAX PAYMENT DUE </w:t>
      </w:r>
    </w:p>
    <w:p w14:paraId="37394F46" w14:textId="77777777" w:rsidR="00012537" w:rsidRDefault="00012537" w:rsidP="00012537">
      <w:pPr>
        <w:pStyle w:val="NormalWeb"/>
        <w:spacing w:before="0" w:beforeAutospacing="0" w:after="0" w:afterAutospacing="0"/>
        <w:jc w:val="center"/>
        <w:rPr>
          <w:rFonts w:ascii="Calibri" w:hAnsi="Calibri" w:cs="Calibri"/>
          <w:color w:val="000000"/>
        </w:rPr>
      </w:pPr>
    </w:p>
    <w:p w14:paraId="2CA2FA3C" w14:textId="77777777" w:rsidR="00012537" w:rsidRDefault="00012537" w:rsidP="00012537">
      <w:pPr>
        <w:pStyle w:val="NormalWeb"/>
        <w:spacing w:before="0" w:beforeAutospacing="0" w:after="0" w:afterAutospacing="0"/>
        <w:jc w:val="center"/>
      </w:pPr>
      <w:r>
        <w:rPr>
          <w:rFonts w:ascii="Calibri" w:hAnsi="Calibri" w:cs="Calibri"/>
          <w:b/>
          <w:bCs/>
          <w:color w:val="000000"/>
        </w:rPr>
        <w:t>SEPTEMBER 15, 2022</w:t>
      </w:r>
    </w:p>
    <w:p w14:paraId="0366A66B" w14:textId="77777777" w:rsidR="00012537" w:rsidRDefault="00012537" w:rsidP="00012537">
      <w:pPr>
        <w:pStyle w:val="NormalWeb"/>
        <w:spacing w:before="0" w:beforeAutospacing="0" w:after="0" w:afterAutospacing="0"/>
        <w:jc w:val="center"/>
      </w:pPr>
      <w:r>
        <w:rPr>
          <w:rFonts w:ascii="Calibri" w:hAnsi="Calibri" w:cs="Calibri"/>
          <w:color w:val="000000"/>
        </w:rPr>
        <w:t>THIRD QUARTER 2022 ESTIMATED TAX PAYMENT DUE</w:t>
      </w:r>
    </w:p>
    <w:p w14:paraId="140B0973" w14:textId="77777777" w:rsidR="00012537" w:rsidRDefault="00012537" w:rsidP="00012537"/>
    <w:p w14:paraId="06764B8F" w14:textId="77777777" w:rsidR="00012537" w:rsidRDefault="00012537" w:rsidP="00012537">
      <w:pPr>
        <w:pStyle w:val="NormalWeb"/>
        <w:spacing w:before="0" w:beforeAutospacing="0" w:after="0" w:afterAutospacing="0"/>
        <w:jc w:val="center"/>
      </w:pPr>
      <w:r>
        <w:rPr>
          <w:rFonts w:ascii="Calibri" w:hAnsi="Calibri" w:cs="Calibri"/>
          <w:b/>
          <w:bCs/>
          <w:color w:val="000000"/>
        </w:rPr>
        <w:t>OCTOBER 15, 2022</w:t>
      </w:r>
    </w:p>
    <w:p w14:paraId="033D6B12" w14:textId="77777777" w:rsidR="00012537" w:rsidRDefault="00012537" w:rsidP="00012537">
      <w:pPr>
        <w:pStyle w:val="NormalWeb"/>
        <w:spacing w:before="0" w:beforeAutospacing="0" w:after="0" w:afterAutospacing="0"/>
        <w:jc w:val="center"/>
      </w:pPr>
      <w:r>
        <w:rPr>
          <w:rFonts w:ascii="Calibri" w:hAnsi="Calibri" w:cs="Calibri"/>
          <w:color w:val="000000"/>
        </w:rPr>
        <w:t>EXTENDED INDIVIDUAL TAX RETURNS DUE </w:t>
      </w:r>
    </w:p>
    <w:p w14:paraId="664134E7" w14:textId="350E8FC8" w:rsidR="00012537" w:rsidRDefault="00012537" w:rsidP="00012537">
      <w:pPr>
        <w:pStyle w:val="NormalWeb"/>
        <w:spacing w:before="0" w:beforeAutospacing="0" w:after="0" w:afterAutospacing="0"/>
        <w:jc w:val="center"/>
        <w:rPr>
          <w:rFonts w:ascii="Calibri" w:hAnsi="Calibri" w:cs="Calibri"/>
          <w:color w:val="000000"/>
        </w:rPr>
      </w:pPr>
      <w:r>
        <w:rPr>
          <w:rFonts w:ascii="Calibri" w:hAnsi="Calibri" w:cs="Calibri"/>
          <w:color w:val="000000"/>
        </w:rPr>
        <w:t>If you received an extension, you have until October 15 to file your 2021 tax return. </w:t>
      </w:r>
    </w:p>
    <w:p w14:paraId="0AAEBE9B" w14:textId="69F533BF" w:rsidR="0084136E" w:rsidRDefault="00B71FEC" w:rsidP="00012537">
      <w:pPr>
        <w:pStyle w:val="NormalWeb"/>
        <w:spacing w:before="0" w:beforeAutospacing="0" w:after="0" w:afterAutospacing="0"/>
        <w:jc w:val="center"/>
        <w:rPr>
          <w:rFonts w:ascii="Calibri" w:hAnsi="Calibri" w:cs="Calibri"/>
          <w:color w:val="000000"/>
        </w:rPr>
      </w:pPr>
      <w:r w:rsidRPr="00D35B18">
        <w:rPr>
          <w:rFonts w:ascii="Calibri" w:hAnsi="Calibri" w:cs="Calibri"/>
          <w:noProof/>
        </w:rPr>
        <mc:AlternateContent>
          <mc:Choice Requires="wps">
            <w:drawing>
              <wp:anchor distT="0" distB="0" distL="0" distR="0" simplePos="0" relativeHeight="251669504" behindDoc="1" locked="0" layoutInCell="1" allowOverlap="1" wp14:anchorId="10C8A6CF" wp14:editId="0C246B40">
                <wp:simplePos x="0" y="0"/>
                <wp:positionH relativeFrom="page">
                  <wp:posOffset>728980</wp:posOffset>
                </wp:positionH>
                <wp:positionV relativeFrom="paragraph">
                  <wp:posOffset>366395</wp:posOffset>
                </wp:positionV>
                <wp:extent cx="6284595" cy="0"/>
                <wp:effectExtent l="0" t="0" r="14605"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4FC7"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4pt,28.85pt" to="552.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UtpwEAADMDAAAOAAAAZHJzL2Uyb0RvYy54bWysUtuO0zAQfUfiHyy/06QVeyFquoIuy8vC&#10;Vlr4gKntNBaOx5pxm/Tvsb1tub0hXkZz8/GcM7O8mwYnDobYom/lfFZLYbxCbf2uld++Pry5lYIj&#10;eA0OvWnl0bC8W71+tRxDYxbYo9OGRALx3IyhlX2MoakqVr0ZgGcYjE/FDmmAmELaVZpgTOiDqxZ1&#10;fV2NSDoQKsOcsvcvRbkq+F1nVHzqOjZRuFam2WKxVOw222q1hGZHEHqrTmPAP0wxgPXp0wvUPUQQ&#10;e7J/QQ1WETJ2caZwqLDrrDKFQ2Izr/9g89xDMIVLEofDRSb+f7Dqy2HtN5RHV5N/Do+ovnMSpRoD&#10;N5diDjhsSGzHz6jTGmEfsfCdOhry48RETEXW40VWM0WhUvJ6cfv26t2VFOpcq6A5PwzE8ZPBQWSn&#10;lc76zBgaODxyzINAc27JaY8P1rmyNefFmE5ucVPX5QWjszpXcx/Tbrt2JA6QFr9+/+FmPc+7Tmi/&#10;tRHuvS5ovQH98eRHsO7FT/3On9TIAuS74maL+rihDJejtJkCfLqivPpf49L189ZXPwAAAP//AwBQ&#10;SwMEFAAGAAgAAAAhAG00RSbgAAAADwEAAA8AAABkcnMvZG93bnJldi54bWxMjz9PwzAQxXekfgfr&#10;KrFRJyihKI1TISoGRpIOHa/xNYmIz5HttoFPjysGWE569+fd75Xb2YziQs4PlhWkqwQEcWv1wJ2C&#10;ffP28AzCB2SNo2VS8EUettXirsRC2yt/0KUOnYgm7AtU0IcwFVL6tieDfmUn4jg7WWcwROk6qR1e&#10;o7kZ5WOSPEmDA8cPPU702lP7WZ+NAme5SRt5khnW73K/+84PA+VK3S/n3SaWlw2IQHP4u4BbhsgP&#10;VQQ72jNrL8ao0yzyBwX5eg3itpAmWQ7i+NuRVSn/56h+AAAA//8DAFBLAQItABQABgAIAAAAIQC2&#10;gziS/gAAAOEBAAATAAAAAAAAAAAAAAAAAAAAAABbQ29udGVudF9UeXBlc10ueG1sUEsBAi0AFAAG&#10;AAgAAAAhADj9If/WAAAAlAEAAAsAAAAAAAAAAAAAAAAALwEAAF9yZWxzLy5yZWxzUEsBAi0AFAAG&#10;AAgAAAAhAMGYlS2nAQAAMwMAAA4AAAAAAAAAAAAAAAAALgIAAGRycy9lMm9Eb2MueG1sUEsBAi0A&#10;FAAGAAgAAAAhAG00RSbgAAAADwEAAA8AAAAAAAAAAAAAAAAAAQQAAGRycy9kb3ducmV2LnhtbFBL&#10;BQYAAAAABAAEAPMAAAAOBQAAAAA=&#10;" strokecolor="#cab7c1" strokeweight="1pt">
                <o:lock v:ext="edit" shapetype="f"/>
                <w10:wrap type="topAndBottom" anchorx="page"/>
              </v:line>
            </w:pict>
          </mc:Fallback>
        </mc:AlternateContent>
      </w:r>
    </w:p>
    <w:p w14:paraId="6C017F88" w14:textId="78076BBA" w:rsidR="0084136E" w:rsidRDefault="0084136E" w:rsidP="00012537">
      <w:pPr>
        <w:pStyle w:val="NormalWeb"/>
        <w:spacing w:before="0" w:beforeAutospacing="0" w:after="0" w:afterAutospacing="0"/>
        <w:jc w:val="center"/>
        <w:rPr>
          <w:rFonts w:ascii="Calibri" w:hAnsi="Calibri" w:cs="Calibri"/>
          <w:color w:val="000000"/>
        </w:rPr>
      </w:pPr>
    </w:p>
    <w:p w14:paraId="2405D175" w14:textId="0E413EF0" w:rsidR="00012537" w:rsidRDefault="00012537" w:rsidP="00012537">
      <w:pPr>
        <w:pStyle w:val="NormalWeb"/>
        <w:spacing w:before="0" w:beforeAutospacing="0" w:after="0" w:afterAutospacing="0"/>
        <w:rPr>
          <w:rFonts w:ascii="Calibri" w:hAnsi="Calibri" w:cs="Calibri"/>
          <w:color w:val="000000"/>
        </w:rPr>
      </w:pPr>
    </w:p>
    <w:p w14:paraId="781830F6" w14:textId="38F8A0BF" w:rsidR="00012537" w:rsidRDefault="00012537" w:rsidP="00012537">
      <w:pPr>
        <w:pStyle w:val="NormalWeb"/>
        <w:spacing w:before="0" w:beforeAutospacing="0" w:after="0" w:afterAutospacing="0"/>
      </w:pPr>
      <w:r>
        <w:rPr>
          <w:rFonts w:ascii="Calibri" w:hAnsi="Calibri" w:cs="Calibri"/>
          <w:color w:val="000000"/>
        </w:rPr>
        <w:t>*The IRS has the authority to adjust federal tax deadlines on short notice based on its assessment of financial or economic conditions. Also, please note that tax deadlines that fall on weekends or national holidays will be delayed until the following business day.</w:t>
      </w:r>
    </w:p>
    <w:p w14:paraId="1C19F9E9" w14:textId="77777777" w:rsidR="00012537" w:rsidRDefault="00012537" w:rsidP="00F71750">
      <w:pPr>
        <w:pStyle w:val="Heading1"/>
        <w:spacing w:before="0"/>
        <w:ind w:left="0" w:right="490"/>
        <w:rPr>
          <w:rFonts w:asciiTheme="minorHAnsi" w:hAnsiTheme="minorHAnsi" w:cstheme="minorHAnsi"/>
          <w:color w:val="4949CC"/>
          <w:w w:val="110"/>
          <w:sz w:val="24"/>
          <w:szCs w:val="24"/>
        </w:rPr>
      </w:pPr>
    </w:p>
    <w:p w14:paraId="34FA887A" w14:textId="7560C2B1" w:rsidR="00F71750" w:rsidRPr="0084136E" w:rsidRDefault="00F71750" w:rsidP="00F71750">
      <w:pPr>
        <w:pStyle w:val="Heading1"/>
        <w:spacing w:before="0"/>
        <w:ind w:left="0" w:right="490"/>
        <w:rPr>
          <w:rFonts w:asciiTheme="minorHAnsi" w:hAnsiTheme="minorHAnsi" w:cstheme="minorHAnsi"/>
          <w:color w:val="4B6C90"/>
          <w:sz w:val="24"/>
          <w:szCs w:val="24"/>
        </w:rPr>
      </w:pPr>
      <w:r w:rsidRPr="0084136E">
        <w:rPr>
          <w:rFonts w:asciiTheme="minorHAnsi" w:hAnsiTheme="minorHAnsi" w:cstheme="minorHAnsi"/>
          <w:color w:val="4B6C90"/>
          <w:w w:val="110"/>
          <w:sz w:val="24"/>
          <w:szCs w:val="24"/>
        </w:rPr>
        <w:t>How to Prepare</w:t>
      </w:r>
    </w:p>
    <w:p w14:paraId="79097C39" w14:textId="77777777" w:rsidR="00F71750" w:rsidRPr="0084136E" w:rsidRDefault="00F71750" w:rsidP="00F71750">
      <w:pPr>
        <w:rPr>
          <w:rFonts w:asciiTheme="minorHAnsi" w:hAnsiTheme="minorHAnsi" w:cstheme="minorHAnsi"/>
          <w:color w:val="4B6C90"/>
        </w:rPr>
      </w:pPr>
    </w:p>
    <w:p w14:paraId="4BA486F6" w14:textId="04238FB9" w:rsidR="00F71750" w:rsidRDefault="00F71750" w:rsidP="00A54000">
      <w:pPr>
        <w:pStyle w:val="Heading1"/>
        <w:spacing w:before="0"/>
        <w:ind w:left="0" w:right="490"/>
        <w:rPr>
          <w:rFonts w:asciiTheme="minorHAnsi" w:hAnsiTheme="minorHAnsi" w:cstheme="minorHAnsi"/>
          <w:b w:val="0"/>
          <w:bCs w:val="0"/>
          <w:sz w:val="24"/>
          <w:szCs w:val="24"/>
        </w:rPr>
      </w:pPr>
      <w:r w:rsidRPr="0084136E">
        <w:rPr>
          <w:rFonts w:asciiTheme="minorHAnsi" w:hAnsiTheme="minorHAnsi" w:cstheme="minorHAnsi"/>
          <w:color w:val="4B6C90"/>
          <w:w w:val="110"/>
          <w:sz w:val="24"/>
          <w:szCs w:val="24"/>
        </w:rPr>
        <w:t xml:space="preserve">Get a checkup: </w:t>
      </w:r>
      <w:r w:rsidRPr="00860547">
        <w:rPr>
          <w:rFonts w:asciiTheme="minorHAnsi" w:hAnsiTheme="minorHAnsi" w:cstheme="minorHAnsi"/>
          <w:b w:val="0"/>
          <w:bCs w:val="0"/>
          <w:sz w:val="24"/>
          <w:szCs w:val="24"/>
        </w:rPr>
        <w:t xml:space="preserve">As a starter, the I.R.S. urges taxpayers to conduct paycheck checkups. </w:t>
      </w:r>
    </w:p>
    <w:p w14:paraId="634D654D" w14:textId="2B34248C" w:rsidR="00A54000" w:rsidRDefault="00A54000" w:rsidP="00A54000">
      <w:pPr>
        <w:pStyle w:val="Heading1"/>
        <w:spacing w:before="0"/>
        <w:ind w:left="0" w:right="490"/>
        <w:rPr>
          <w:rFonts w:asciiTheme="minorHAnsi" w:hAnsiTheme="minorHAnsi" w:cstheme="minorHAnsi"/>
          <w:b w:val="0"/>
          <w:bCs w:val="0"/>
          <w:sz w:val="24"/>
          <w:szCs w:val="24"/>
        </w:rPr>
      </w:pPr>
    </w:p>
    <w:p w14:paraId="782770DF" w14:textId="43297604" w:rsidR="00A42F60" w:rsidRPr="00B71FEC" w:rsidRDefault="00A54000" w:rsidP="00A42F60">
      <w:pPr>
        <w:pStyle w:val="NormalWeb"/>
        <w:spacing w:before="0" w:beforeAutospacing="0" w:after="0" w:afterAutospacing="0"/>
        <w:rPr>
          <w:rFonts w:ascii="Calibri" w:hAnsi="Calibri" w:cs="Calibri"/>
          <w:color w:val="000000"/>
        </w:rPr>
      </w:pPr>
      <w:r>
        <w:rPr>
          <w:rFonts w:ascii="Calibri" w:hAnsi="Calibri" w:cs="Calibri"/>
          <w:color w:val="000000"/>
        </w:rPr>
        <w:t xml:space="preserve">The agency provides tools and resources to help you calculate the correct amount to have withdrawn </w:t>
      </w:r>
      <w:r w:rsidR="00974B81">
        <w:rPr>
          <w:rFonts w:ascii="Calibri" w:hAnsi="Calibri" w:cs="Calibri"/>
          <w:color w:val="000000"/>
        </w:rPr>
        <w:br/>
      </w:r>
      <w:r>
        <w:rPr>
          <w:rFonts w:ascii="Calibri" w:hAnsi="Calibri" w:cs="Calibri"/>
          <w:color w:val="000000"/>
        </w:rPr>
        <w:t>from your paycheck. </w:t>
      </w:r>
    </w:p>
    <w:p w14:paraId="2902ABD1" w14:textId="77777777" w:rsidR="00B66FD6" w:rsidRDefault="00B66FD6" w:rsidP="00A42F60">
      <w:pPr>
        <w:pStyle w:val="NormalWeb"/>
        <w:spacing w:before="0" w:beforeAutospacing="0" w:after="0" w:afterAutospacing="0"/>
        <w:rPr>
          <w:rFonts w:ascii="Calibri" w:hAnsi="Calibri" w:cs="Calibri"/>
          <w:color w:val="000000"/>
        </w:rPr>
      </w:pPr>
    </w:p>
    <w:p w14:paraId="3CA003B3" w14:textId="5B37D925" w:rsidR="00E45730" w:rsidRPr="002D1B08" w:rsidRDefault="00A54000" w:rsidP="00A42F60">
      <w:pPr>
        <w:pStyle w:val="NormalWeb"/>
        <w:spacing w:before="0" w:beforeAutospacing="0" w:after="0" w:afterAutospacing="0"/>
        <w:rPr>
          <w:rFonts w:ascii="Calibri" w:hAnsi="Calibri" w:cs="Calibri"/>
          <w:color w:val="000000"/>
        </w:rPr>
      </w:pPr>
      <w:r>
        <w:rPr>
          <w:rFonts w:ascii="Calibri" w:hAnsi="Calibri" w:cs="Calibri"/>
          <w:color w:val="000000"/>
        </w:rPr>
        <w:t xml:space="preserve">The calculator may help you determine if your employer is withholding adequate amounts from </w:t>
      </w:r>
      <w:r w:rsidR="00B66FD6">
        <w:rPr>
          <w:rFonts w:ascii="Calibri" w:hAnsi="Calibri" w:cs="Calibri"/>
          <w:color w:val="000000"/>
        </w:rPr>
        <w:br/>
      </w:r>
      <w:r>
        <w:rPr>
          <w:rFonts w:ascii="Calibri" w:hAnsi="Calibri" w:cs="Calibri"/>
          <w:color w:val="000000"/>
        </w:rPr>
        <w:t>your paycheck.</w:t>
      </w:r>
    </w:p>
    <w:p w14:paraId="4773E95C" w14:textId="61BABE9F" w:rsidR="00A54000" w:rsidRDefault="00A54000" w:rsidP="00E45730">
      <w:pPr>
        <w:pStyle w:val="NormalWeb"/>
        <w:spacing w:before="0" w:beforeAutospacing="0" w:after="0" w:afterAutospacing="0"/>
        <w:rPr>
          <w:rFonts w:ascii="Calibri" w:hAnsi="Calibri" w:cs="Calibri"/>
          <w:color w:val="000000"/>
        </w:rPr>
      </w:pPr>
      <w:r>
        <w:rPr>
          <w:rFonts w:ascii="Calibri" w:hAnsi="Calibri" w:cs="Calibri"/>
          <w:color w:val="000000"/>
        </w:rPr>
        <w:lastRenderedPageBreak/>
        <w:t>The calculator asks for your projected gross income, your current withholding number, the current amount of federal taxes withheld, and other paycheck-related questions.</w:t>
      </w:r>
    </w:p>
    <w:p w14:paraId="542FB65F" w14:textId="77777777" w:rsidR="00E45730" w:rsidRDefault="00E45730" w:rsidP="00E45730">
      <w:pPr>
        <w:pStyle w:val="NormalWeb"/>
        <w:spacing w:before="0" w:beforeAutospacing="0" w:after="0" w:afterAutospacing="0"/>
      </w:pPr>
    </w:p>
    <w:p w14:paraId="3C1A3E68" w14:textId="76FBDADA" w:rsidR="00F63FD1" w:rsidRDefault="00A54000" w:rsidP="00E45730">
      <w:pPr>
        <w:pStyle w:val="NormalWeb"/>
        <w:spacing w:before="0" w:beforeAutospacing="0" w:after="0" w:afterAutospacing="0"/>
        <w:rPr>
          <w:rFonts w:ascii="Calibri" w:hAnsi="Calibri" w:cs="Calibri"/>
          <w:color w:val="000000"/>
        </w:rPr>
      </w:pPr>
      <w:r>
        <w:rPr>
          <w:rFonts w:ascii="Calibri" w:hAnsi="Calibri" w:cs="Calibri"/>
          <w:color w:val="000000"/>
        </w:rPr>
        <w:t xml:space="preserve">The calculator leads you through various screens that require you to enter the requested numbers into boxes. The calculator looks similar to a tax-filing form. </w:t>
      </w:r>
    </w:p>
    <w:p w14:paraId="3707E6D7" w14:textId="77777777" w:rsidR="00012537" w:rsidRPr="00012537" w:rsidRDefault="00012537" w:rsidP="00012537">
      <w:pPr>
        <w:pStyle w:val="NormalWeb"/>
        <w:spacing w:before="0" w:beforeAutospacing="0" w:after="140" w:afterAutospacing="0"/>
      </w:pPr>
    </w:p>
    <w:p w14:paraId="4846B2E6" w14:textId="457447D5" w:rsidR="00802066" w:rsidRDefault="00012537" w:rsidP="00E45730">
      <w:pPr>
        <w:pStyle w:val="NormalWeb"/>
        <w:spacing w:before="0" w:beforeAutospacing="0" w:after="0" w:afterAutospacing="0"/>
        <w:rPr>
          <w:rFonts w:ascii="Calibri" w:hAnsi="Calibri" w:cs="Calibri"/>
          <w:color w:val="000000"/>
        </w:rPr>
      </w:pPr>
      <w:r w:rsidRPr="0084136E">
        <w:rPr>
          <w:rFonts w:asciiTheme="minorHAnsi" w:hAnsiTheme="minorHAnsi" w:cstheme="minorHAnsi"/>
          <w:b/>
          <w:bCs/>
          <w:color w:val="374F69"/>
          <w:w w:val="110"/>
        </w:rPr>
        <w:t>The final figure</w:t>
      </w:r>
      <w:r w:rsidR="00802066" w:rsidRPr="0084136E">
        <w:rPr>
          <w:rFonts w:asciiTheme="minorHAnsi" w:hAnsiTheme="minorHAnsi" w:cstheme="minorHAnsi"/>
          <w:b/>
          <w:bCs/>
          <w:color w:val="374F69"/>
          <w:w w:val="110"/>
        </w:rPr>
        <w:t xml:space="preserve">: </w:t>
      </w:r>
      <w:r w:rsidR="00802066">
        <w:rPr>
          <w:rFonts w:ascii="Calibri" w:hAnsi="Calibri" w:cs="Calibri"/>
          <w:color w:val="000000"/>
        </w:rPr>
        <w:t>Once the calculator generates the estimated taxes you can expect to owe or be refunded, it offers suggestions on how to change your withholding amount or request that additional money be withheld from your check. </w:t>
      </w:r>
    </w:p>
    <w:p w14:paraId="18F490BF" w14:textId="77777777" w:rsidR="00E45730" w:rsidRDefault="00E45730" w:rsidP="00E45730">
      <w:pPr>
        <w:pStyle w:val="NormalWeb"/>
        <w:spacing w:before="0" w:beforeAutospacing="0" w:after="0" w:afterAutospacing="0"/>
      </w:pPr>
    </w:p>
    <w:p w14:paraId="5B49F34D" w14:textId="45ADBA77" w:rsidR="00802066" w:rsidRDefault="00802066" w:rsidP="00E45730">
      <w:pPr>
        <w:pStyle w:val="NormalWeb"/>
        <w:spacing w:before="0" w:beforeAutospacing="0" w:after="0" w:afterAutospacing="0"/>
      </w:pPr>
      <w:r>
        <w:rPr>
          <w:rFonts w:ascii="Calibri" w:hAnsi="Calibri" w:cs="Calibri"/>
          <w:color w:val="000000"/>
        </w:rPr>
        <w:t xml:space="preserve">If the calculator shows you are projected to owe taxes at the end of the year, you may file a new Form W-4, Employee’s Withholding Allowance Certificate, following the guidance provided by the calculator. The IRS-provided calculator is designed to provide feedback based on certain assumptions. It is not intended to provide specific tax, legal, or accounting advice. The calculator is not a replacement for real-life advice, </w:t>
      </w:r>
      <w:r w:rsidR="00974B81">
        <w:rPr>
          <w:rFonts w:ascii="Calibri" w:hAnsi="Calibri" w:cs="Calibri"/>
          <w:color w:val="000000"/>
        </w:rPr>
        <w:br/>
      </w:r>
      <w:r>
        <w:rPr>
          <w:rFonts w:ascii="Calibri" w:hAnsi="Calibri" w:cs="Calibri"/>
          <w:color w:val="000000"/>
        </w:rPr>
        <w:t>so please make sure to consult a professional before modifying your tax strategy.</w:t>
      </w:r>
      <w:r w:rsidR="00E52BF6" w:rsidRPr="00E52BF6">
        <w:rPr>
          <w:rFonts w:ascii="Calibri" w:hAnsi="Calibri" w:cs="Calibri"/>
          <w:color w:val="000000"/>
          <w:vertAlign w:val="superscript"/>
        </w:rPr>
        <w:t>5</w:t>
      </w:r>
    </w:p>
    <w:p w14:paraId="5C7EB81D" w14:textId="77777777" w:rsidR="00E45730" w:rsidRDefault="00E45730" w:rsidP="00E45730">
      <w:pPr>
        <w:pStyle w:val="NormalWeb"/>
        <w:spacing w:before="0" w:beforeAutospacing="0" w:after="0" w:afterAutospacing="0"/>
        <w:rPr>
          <w:rFonts w:ascii="Calibri" w:hAnsi="Calibri" w:cs="Calibri"/>
          <w:color w:val="000000"/>
        </w:rPr>
      </w:pPr>
    </w:p>
    <w:p w14:paraId="3F07B155" w14:textId="046A0A87" w:rsidR="00802066" w:rsidRDefault="00802066" w:rsidP="00E45730">
      <w:pPr>
        <w:pStyle w:val="NormalWeb"/>
        <w:spacing w:before="0" w:beforeAutospacing="0" w:after="0" w:afterAutospacing="0"/>
        <w:rPr>
          <w:rFonts w:ascii="Calibri" w:hAnsi="Calibri" w:cs="Calibri"/>
          <w:color w:val="000000"/>
        </w:rPr>
      </w:pPr>
      <w:r>
        <w:rPr>
          <w:rFonts w:ascii="Calibri" w:hAnsi="Calibri" w:cs="Calibri"/>
          <w:color w:val="000000"/>
        </w:rPr>
        <w:t>Suggestions may include changing the number of allowances you are claiming or requesting that your employer withhold additional money.</w:t>
      </w:r>
    </w:p>
    <w:p w14:paraId="73229649" w14:textId="77777777" w:rsidR="00E45730" w:rsidRDefault="00E45730" w:rsidP="00E45730">
      <w:pPr>
        <w:pStyle w:val="NormalWeb"/>
        <w:spacing w:before="0" w:beforeAutospacing="0" w:after="0" w:afterAutospacing="0"/>
      </w:pPr>
    </w:p>
    <w:p w14:paraId="252AD3FC" w14:textId="7DEFF9F6" w:rsidR="00802066" w:rsidRDefault="00802066" w:rsidP="00802066">
      <w:r>
        <w:rPr>
          <w:rFonts w:ascii="Calibri" w:hAnsi="Calibri" w:cs="Calibri"/>
          <w:color w:val="000000"/>
        </w:rPr>
        <w:t>Taxpayers who receive pension income may use Form W-4P.</w:t>
      </w:r>
      <w:r>
        <w:rPr>
          <w:rFonts w:ascii="Calibri" w:hAnsi="Calibri" w:cs="Calibri"/>
          <w:color w:val="000000"/>
          <w:sz w:val="14"/>
          <w:szCs w:val="14"/>
          <w:vertAlign w:val="superscript"/>
        </w:rPr>
        <w:t xml:space="preserve"> </w:t>
      </w:r>
      <w:r>
        <w:rPr>
          <w:rFonts w:ascii="Calibri" w:hAnsi="Calibri" w:cs="Calibri"/>
          <w:color w:val="000000"/>
        </w:rPr>
        <w:t>Once completed, send the form to your payer if you are making changes.</w:t>
      </w:r>
      <w:r w:rsidR="00E52BF6" w:rsidRPr="00E52BF6">
        <w:rPr>
          <w:rFonts w:ascii="Calibri" w:hAnsi="Calibri" w:cs="Calibri"/>
          <w:color w:val="000000"/>
          <w:vertAlign w:val="superscript"/>
        </w:rPr>
        <w:t>6</w:t>
      </w:r>
    </w:p>
    <w:p w14:paraId="7664BF80" w14:textId="77777777" w:rsidR="00F63FD1" w:rsidRPr="00860547" w:rsidRDefault="00F63FD1" w:rsidP="00F63FD1">
      <w:pPr>
        <w:pStyle w:val="Heading1"/>
        <w:spacing w:before="0"/>
        <w:ind w:left="0" w:right="490"/>
        <w:jc w:val="both"/>
        <w:rPr>
          <w:rFonts w:asciiTheme="minorHAnsi" w:hAnsiTheme="minorHAnsi" w:cstheme="minorHAnsi"/>
          <w:w w:val="110"/>
          <w:sz w:val="24"/>
          <w:szCs w:val="24"/>
        </w:rPr>
      </w:pPr>
    </w:p>
    <w:p w14:paraId="172890BF" w14:textId="139FD96C" w:rsidR="00F71750" w:rsidRPr="0084136E" w:rsidRDefault="00F71750" w:rsidP="00F63FD1">
      <w:pPr>
        <w:pStyle w:val="Heading1"/>
        <w:spacing w:before="0"/>
        <w:ind w:left="0" w:right="490"/>
        <w:jc w:val="both"/>
        <w:rPr>
          <w:rFonts w:asciiTheme="minorHAnsi" w:hAnsiTheme="minorHAnsi" w:cstheme="minorHAnsi"/>
          <w:color w:val="4B6C90"/>
          <w:sz w:val="24"/>
          <w:szCs w:val="24"/>
        </w:rPr>
      </w:pPr>
      <w:r w:rsidRPr="0084136E">
        <w:rPr>
          <w:rFonts w:asciiTheme="minorHAnsi" w:hAnsiTheme="minorHAnsi" w:cstheme="minorHAnsi"/>
          <w:color w:val="4B6C90"/>
          <w:w w:val="110"/>
          <w:sz w:val="24"/>
          <w:szCs w:val="24"/>
        </w:rPr>
        <w:t>What Do You Need to Have to Use the Calculator?</w:t>
      </w:r>
    </w:p>
    <w:p w14:paraId="5DCB19F7" w14:textId="77777777" w:rsidR="00802066" w:rsidRPr="00802066" w:rsidRDefault="00802066" w:rsidP="00802066">
      <w:pPr>
        <w:spacing w:after="140"/>
      </w:pPr>
      <w:r w:rsidRPr="00802066">
        <w:rPr>
          <w:rFonts w:ascii="Calibri" w:hAnsi="Calibri" w:cs="Calibri"/>
          <w:color w:val="000000"/>
        </w:rPr>
        <w:t>To generate a calculation, you will need to have these documents:</w:t>
      </w:r>
    </w:p>
    <w:p w14:paraId="53B00C32" w14:textId="77777777" w:rsidR="00802066" w:rsidRPr="00802066" w:rsidRDefault="00802066" w:rsidP="00802066">
      <w:pPr>
        <w:numPr>
          <w:ilvl w:val="0"/>
          <w:numId w:val="14"/>
        </w:numPr>
        <w:textAlignment w:val="baseline"/>
        <w:rPr>
          <w:rFonts w:ascii="Calibri" w:hAnsi="Calibri" w:cs="Calibri"/>
          <w:color w:val="000000"/>
        </w:rPr>
      </w:pPr>
      <w:r w:rsidRPr="00802066">
        <w:rPr>
          <w:rFonts w:ascii="Calibri" w:hAnsi="Calibri" w:cs="Calibri"/>
          <w:color w:val="000000"/>
        </w:rPr>
        <w:t xml:space="preserve">A recent pay </w:t>
      </w:r>
      <w:proofErr w:type="gramStart"/>
      <w:r w:rsidRPr="00802066">
        <w:rPr>
          <w:rFonts w:ascii="Calibri" w:hAnsi="Calibri" w:cs="Calibri"/>
          <w:color w:val="000000"/>
        </w:rPr>
        <w:t>stub</w:t>
      </w:r>
      <w:proofErr w:type="gramEnd"/>
    </w:p>
    <w:p w14:paraId="23D0B07C" w14:textId="77777777" w:rsidR="00802066" w:rsidRPr="00802066" w:rsidRDefault="00802066" w:rsidP="00802066">
      <w:pPr>
        <w:numPr>
          <w:ilvl w:val="0"/>
          <w:numId w:val="14"/>
        </w:numPr>
        <w:textAlignment w:val="baseline"/>
        <w:rPr>
          <w:rFonts w:ascii="Calibri" w:hAnsi="Calibri" w:cs="Calibri"/>
          <w:color w:val="000000"/>
        </w:rPr>
      </w:pPr>
      <w:r w:rsidRPr="00802066">
        <w:rPr>
          <w:rFonts w:ascii="Calibri" w:hAnsi="Calibri" w:cs="Calibri"/>
          <w:color w:val="000000"/>
        </w:rPr>
        <w:t>A copy of a completed Form 1040, which will help you estimate your income</w:t>
      </w:r>
    </w:p>
    <w:p w14:paraId="180F421E" w14:textId="77777777" w:rsidR="00802066" w:rsidRPr="00802066" w:rsidRDefault="00802066" w:rsidP="00802066"/>
    <w:p w14:paraId="1C682DCD" w14:textId="10EC6609" w:rsidR="00802066" w:rsidRDefault="00802066" w:rsidP="00E45730">
      <w:pPr>
        <w:rPr>
          <w:rFonts w:ascii="Calibri" w:hAnsi="Calibri" w:cs="Calibri"/>
          <w:color w:val="000000"/>
        </w:rPr>
      </w:pPr>
      <w:r w:rsidRPr="00802066">
        <w:rPr>
          <w:rFonts w:ascii="Calibri" w:hAnsi="Calibri" w:cs="Calibri"/>
          <w:color w:val="000000"/>
        </w:rPr>
        <w:t>The calculator will not ask you to provide personal or private information. It will, however, ask you the number of children you expect to claim for the Child Tax Credit and the Earned Income Tax Credit.</w:t>
      </w:r>
    </w:p>
    <w:p w14:paraId="58130FF4" w14:textId="77777777" w:rsidR="00E45730" w:rsidRPr="00802066" w:rsidRDefault="00E45730" w:rsidP="00E45730"/>
    <w:p w14:paraId="41B1644A" w14:textId="4D6138F5" w:rsidR="00E61CF0" w:rsidRDefault="00802066" w:rsidP="00E61CF0">
      <w:pPr>
        <w:rPr>
          <w:rFonts w:ascii="Calibri" w:hAnsi="Calibri" w:cs="Calibri"/>
          <w:color w:val="000000"/>
          <w:vertAlign w:val="superscript"/>
        </w:rPr>
      </w:pPr>
      <w:r w:rsidRPr="00802066">
        <w:rPr>
          <w:rFonts w:ascii="Calibri" w:hAnsi="Calibri" w:cs="Calibri"/>
          <w:color w:val="000000"/>
        </w:rPr>
        <w:t>Taxpayers with more complex tax issues may follow the instructions in Publication 505, Tax Withholding and Estimated Tax.</w:t>
      </w:r>
      <w:r w:rsidR="00E52BF6" w:rsidRPr="00E52BF6">
        <w:rPr>
          <w:rFonts w:ascii="Calibri" w:hAnsi="Calibri" w:cs="Calibri"/>
          <w:color w:val="000000"/>
          <w:vertAlign w:val="superscript"/>
        </w:rPr>
        <w:t>7</w:t>
      </w:r>
    </w:p>
    <w:p w14:paraId="28C8264C" w14:textId="77777777" w:rsidR="00E61CF0" w:rsidRDefault="00E61CF0" w:rsidP="00E61CF0">
      <w:pPr>
        <w:rPr>
          <w:rFonts w:asciiTheme="minorHAnsi" w:hAnsiTheme="minorHAnsi" w:cstheme="minorHAnsi"/>
          <w:b/>
          <w:bCs/>
          <w:color w:val="4949CC"/>
          <w:w w:val="110"/>
        </w:rPr>
      </w:pPr>
    </w:p>
    <w:p w14:paraId="7A4B952E" w14:textId="67651F81" w:rsidR="00F71750" w:rsidRPr="0084136E" w:rsidRDefault="00F71750" w:rsidP="00E61CF0">
      <w:pPr>
        <w:spacing w:after="140"/>
        <w:rPr>
          <w:rFonts w:ascii="Calibri" w:hAnsi="Calibri" w:cs="Calibri"/>
          <w:b/>
          <w:bCs/>
          <w:color w:val="4B6C90"/>
          <w:vertAlign w:val="superscript"/>
        </w:rPr>
      </w:pPr>
      <w:r w:rsidRPr="0084136E">
        <w:rPr>
          <w:rFonts w:asciiTheme="minorHAnsi" w:hAnsiTheme="minorHAnsi" w:cstheme="minorHAnsi"/>
          <w:b/>
          <w:bCs/>
          <w:color w:val="4B6C90"/>
          <w:w w:val="110"/>
        </w:rPr>
        <w:t>Who Should Use the Calculator?</w:t>
      </w:r>
    </w:p>
    <w:p w14:paraId="6185A329" w14:textId="6E57F5AE" w:rsidR="00802066" w:rsidRDefault="00802066" w:rsidP="00E45730">
      <w:pPr>
        <w:rPr>
          <w:rFonts w:ascii="Calibri" w:hAnsi="Calibri" w:cs="Calibri"/>
          <w:color w:val="000000"/>
        </w:rPr>
      </w:pPr>
      <w:r w:rsidRPr="00802066">
        <w:rPr>
          <w:rFonts w:ascii="Calibri" w:hAnsi="Calibri" w:cs="Calibri"/>
          <w:color w:val="000000"/>
        </w:rPr>
        <w:t>The IRS urges taxpayers who have questions or concerns about changes in the tax code to use the calculator. Specifically, you may want to check your withholding if you meet the following criteria:</w:t>
      </w:r>
    </w:p>
    <w:p w14:paraId="3F78FF95" w14:textId="77777777" w:rsidR="00E45730" w:rsidRPr="00802066" w:rsidRDefault="00E45730" w:rsidP="00E45730"/>
    <w:p w14:paraId="5ED145D7" w14:textId="77777777" w:rsidR="00802066" w:rsidRPr="00802066" w:rsidRDefault="00802066" w:rsidP="00802066">
      <w:pPr>
        <w:numPr>
          <w:ilvl w:val="0"/>
          <w:numId w:val="15"/>
        </w:numPr>
        <w:textAlignment w:val="baseline"/>
        <w:rPr>
          <w:rFonts w:ascii="Calibri" w:hAnsi="Calibri" w:cs="Calibri"/>
          <w:color w:val="000000"/>
        </w:rPr>
      </w:pPr>
      <w:r w:rsidRPr="00802066">
        <w:rPr>
          <w:rFonts w:ascii="Calibri" w:hAnsi="Calibri" w:cs="Calibri"/>
          <w:color w:val="000000"/>
        </w:rPr>
        <w:t>Have a two-income household</w:t>
      </w:r>
    </w:p>
    <w:p w14:paraId="1D71432B" w14:textId="06078295" w:rsidR="00802066" w:rsidRPr="00802066" w:rsidRDefault="00802066" w:rsidP="00802066">
      <w:pPr>
        <w:numPr>
          <w:ilvl w:val="0"/>
          <w:numId w:val="15"/>
        </w:numPr>
        <w:textAlignment w:val="baseline"/>
        <w:rPr>
          <w:rFonts w:ascii="Calibri" w:hAnsi="Calibri" w:cs="Calibri"/>
          <w:color w:val="000000"/>
        </w:rPr>
      </w:pPr>
      <w:r w:rsidRPr="00802066">
        <w:rPr>
          <w:rFonts w:ascii="Calibri" w:hAnsi="Calibri" w:cs="Calibri"/>
          <w:color w:val="000000"/>
        </w:rPr>
        <w:t>Have two or more jobs</w:t>
      </w:r>
    </w:p>
    <w:p w14:paraId="1D2A77FA" w14:textId="2E34824E" w:rsidR="00802066" w:rsidRPr="00393235" w:rsidRDefault="00802066" w:rsidP="00393235">
      <w:pPr>
        <w:numPr>
          <w:ilvl w:val="0"/>
          <w:numId w:val="15"/>
        </w:numPr>
        <w:textAlignment w:val="baseline"/>
        <w:rPr>
          <w:rFonts w:ascii="Calibri" w:hAnsi="Calibri" w:cs="Calibri"/>
          <w:color w:val="000000"/>
        </w:rPr>
      </w:pPr>
      <w:r w:rsidRPr="00393235">
        <w:rPr>
          <w:rFonts w:ascii="Calibri" w:hAnsi="Calibri" w:cs="Calibri"/>
          <w:color w:val="000000"/>
        </w:rPr>
        <w:t>Work only part of the year</w:t>
      </w:r>
    </w:p>
    <w:p w14:paraId="014983DF" w14:textId="77777777" w:rsidR="00802066" w:rsidRPr="00802066" w:rsidRDefault="00802066" w:rsidP="00802066">
      <w:pPr>
        <w:numPr>
          <w:ilvl w:val="0"/>
          <w:numId w:val="15"/>
        </w:numPr>
        <w:textAlignment w:val="baseline"/>
        <w:rPr>
          <w:rFonts w:ascii="Calibri" w:hAnsi="Calibri" w:cs="Calibri"/>
          <w:color w:val="000000"/>
        </w:rPr>
      </w:pPr>
      <w:r w:rsidRPr="00802066">
        <w:rPr>
          <w:rFonts w:ascii="Calibri" w:hAnsi="Calibri" w:cs="Calibri"/>
          <w:color w:val="000000"/>
        </w:rPr>
        <w:t>Can claim child tax and other credits</w:t>
      </w:r>
    </w:p>
    <w:p w14:paraId="7C54B183" w14:textId="77777777" w:rsidR="00802066" w:rsidRPr="00802066" w:rsidRDefault="00802066" w:rsidP="00802066">
      <w:pPr>
        <w:numPr>
          <w:ilvl w:val="0"/>
          <w:numId w:val="15"/>
        </w:numPr>
        <w:textAlignment w:val="baseline"/>
        <w:rPr>
          <w:rFonts w:ascii="Calibri" w:hAnsi="Calibri" w:cs="Calibri"/>
          <w:color w:val="000000"/>
        </w:rPr>
      </w:pPr>
      <w:r w:rsidRPr="00802066">
        <w:rPr>
          <w:rFonts w:ascii="Calibri" w:hAnsi="Calibri" w:cs="Calibri"/>
          <w:color w:val="000000"/>
        </w:rPr>
        <w:t>Have dependents who are 17 and older</w:t>
      </w:r>
    </w:p>
    <w:p w14:paraId="582AF4F0" w14:textId="77777777" w:rsidR="00802066" w:rsidRPr="00802066" w:rsidRDefault="00802066" w:rsidP="00802066">
      <w:pPr>
        <w:numPr>
          <w:ilvl w:val="0"/>
          <w:numId w:val="15"/>
        </w:numPr>
        <w:textAlignment w:val="baseline"/>
        <w:rPr>
          <w:rFonts w:ascii="Calibri" w:hAnsi="Calibri" w:cs="Calibri"/>
          <w:color w:val="000000"/>
        </w:rPr>
      </w:pPr>
      <w:r w:rsidRPr="00802066">
        <w:rPr>
          <w:rFonts w:ascii="Calibri" w:hAnsi="Calibri" w:cs="Calibri"/>
          <w:color w:val="000000"/>
        </w:rPr>
        <w:t>Itemized your deductions last year</w:t>
      </w:r>
    </w:p>
    <w:p w14:paraId="0303746E" w14:textId="77777777" w:rsidR="00802066" w:rsidRPr="00802066" w:rsidRDefault="00802066" w:rsidP="00E45730">
      <w:pPr>
        <w:numPr>
          <w:ilvl w:val="0"/>
          <w:numId w:val="15"/>
        </w:numPr>
        <w:textAlignment w:val="baseline"/>
        <w:rPr>
          <w:rFonts w:ascii="Calibri" w:hAnsi="Calibri" w:cs="Calibri"/>
          <w:color w:val="000000"/>
        </w:rPr>
      </w:pPr>
      <w:r w:rsidRPr="00802066">
        <w:rPr>
          <w:rFonts w:ascii="Calibri" w:hAnsi="Calibri" w:cs="Calibri"/>
          <w:color w:val="000000"/>
        </w:rPr>
        <w:t xml:space="preserve">Are a high earner or have a complex tax </w:t>
      </w:r>
      <w:proofErr w:type="gramStart"/>
      <w:r w:rsidRPr="00802066">
        <w:rPr>
          <w:rFonts w:ascii="Calibri" w:hAnsi="Calibri" w:cs="Calibri"/>
          <w:color w:val="000000"/>
        </w:rPr>
        <w:t>return</w:t>
      </w:r>
      <w:proofErr w:type="gramEnd"/>
    </w:p>
    <w:p w14:paraId="36966040" w14:textId="77777777" w:rsidR="00802066" w:rsidRPr="00802066" w:rsidRDefault="00802066" w:rsidP="00802066">
      <w:pPr>
        <w:numPr>
          <w:ilvl w:val="0"/>
          <w:numId w:val="15"/>
        </w:numPr>
        <w:textAlignment w:val="baseline"/>
        <w:rPr>
          <w:rFonts w:ascii="Calibri" w:hAnsi="Calibri" w:cs="Calibri"/>
          <w:color w:val="000000"/>
        </w:rPr>
      </w:pPr>
      <w:r w:rsidRPr="00802066">
        <w:rPr>
          <w:rFonts w:ascii="Calibri" w:hAnsi="Calibri" w:cs="Calibri"/>
          <w:color w:val="000000"/>
        </w:rPr>
        <w:t>Received a large tax refund or paid a large tax bill for 2020</w:t>
      </w:r>
    </w:p>
    <w:p w14:paraId="211F1C49" w14:textId="77777777" w:rsidR="00F63FD1" w:rsidRPr="00860547" w:rsidRDefault="00F63FD1" w:rsidP="00F71750">
      <w:pPr>
        <w:pStyle w:val="Heading1"/>
        <w:spacing w:before="0"/>
        <w:ind w:left="0" w:right="490"/>
        <w:jc w:val="both"/>
        <w:rPr>
          <w:rFonts w:asciiTheme="minorHAnsi" w:hAnsiTheme="minorHAnsi" w:cstheme="minorHAnsi"/>
          <w:color w:val="0070C0"/>
          <w:w w:val="110"/>
          <w:sz w:val="24"/>
          <w:szCs w:val="24"/>
        </w:rPr>
      </w:pPr>
    </w:p>
    <w:p w14:paraId="4F6CBB8A" w14:textId="15ACE349" w:rsidR="00F71750" w:rsidRPr="0084136E" w:rsidRDefault="00802066" w:rsidP="00F71750">
      <w:pPr>
        <w:pStyle w:val="Heading1"/>
        <w:spacing w:before="0"/>
        <w:ind w:left="0" w:right="490"/>
        <w:jc w:val="both"/>
        <w:rPr>
          <w:rFonts w:asciiTheme="minorHAnsi" w:hAnsiTheme="minorHAnsi" w:cstheme="minorHAnsi"/>
          <w:color w:val="4B6C90"/>
          <w:sz w:val="24"/>
          <w:szCs w:val="24"/>
        </w:rPr>
      </w:pPr>
      <w:r w:rsidRPr="0084136E">
        <w:rPr>
          <w:rFonts w:asciiTheme="minorHAnsi" w:hAnsiTheme="minorHAnsi" w:cstheme="minorHAnsi"/>
          <w:color w:val="4B6C90"/>
          <w:w w:val="110"/>
          <w:sz w:val="24"/>
          <w:szCs w:val="24"/>
        </w:rPr>
        <w:lastRenderedPageBreak/>
        <w:t>The Child Tax Credit</w:t>
      </w:r>
    </w:p>
    <w:p w14:paraId="7B99930E" w14:textId="739745AD" w:rsidR="00802066" w:rsidRDefault="00802066" w:rsidP="00E45730">
      <w:pPr>
        <w:pStyle w:val="NormalWeb"/>
        <w:spacing w:before="0" w:beforeAutospacing="0" w:after="0" w:afterAutospacing="0"/>
      </w:pPr>
      <w:r>
        <w:rPr>
          <w:rFonts w:ascii="Calibri" w:hAnsi="Calibri" w:cs="Calibri"/>
          <w:color w:val="000000"/>
        </w:rPr>
        <w:t>In 2021, the Child Tax Credit was increased from $2,000 per qualifying child to $3,600 for children age five and under and $3,000 for children ages six through seventeen.</w:t>
      </w:r>
      <w:r w:rsidR="00E52BF6" w:rsidRPr="00E52BF6">
        <w:rPr>
          <w:rFonts w:ascii="Calibri" w:hAnsi="Calibri" w:cs="Calibri"/>
          <w:color w:val="000000"/>
          <w:vertAlign w:val="superscript"/>
        </w:rPr>
        <w:t>8</w:t>
      </w:r>
      <w:r>
        <w:rPr>
          <w:rFonts w:ascii="Calibri" w:hAnsi="Calibri" w:cs="Calibri"/>
          <w:color w:val="000000"/>
        </w:rPr>
        <w:t> </w:t>
      </w:r>
    </w:p>
    <w:p w14:paraId="1C99B85F" w14:textId="77777777" w:rsidR="00E45730" w:rsidRDefault="00E45730" w:rsidP="00E45730">
      <w:pPr>
        <w:pStyle w:val="NormalWeb"/>
        <w:spacing w:before="0" w:beforeAutospacing="0" w:after="0" w:afterAutospacing="0"/>
        <w:rPr>
          <w:rFonts w:ascii="Calibri" w:hAnsi="Calibri" w:cs="Calibri"/>
          <w:color w:val="000000"/>
        </w:rPr>
      </w:pPr>
    </w:p>
    <w:p w14:paraId="4DAB6C6F" w14:textId="1FF1DC36" w:rsidR="00802066" w:rsidRDefault="00802066" w:rsidP="00E45730">
      <w:pPr>
        <w:pStyle w:val="NormalWeb"/>
        <w:spacing w:before="0" w:beforeAutospacing="0" w:after="0" w:afterAutospacing="0"/>
      </w:pPr>
      <w:r>
        <w:rPr>
          <w:rFonts w:ascii="Calibri" w:hAnsi="Calibri" w:cs="Calibri"/>
          <w:color w:val="000000"/>
        </w:rPr>
        <w:t>There are two phase-out limits for the Child Tax Credit. The first phase-out limit can reduce the credit to $2,000 per child, which amounts to a potential $1,600 reduction for children five and under and a potential $1,000 reduction for children ages six through seventeen. This first phaseout reduces the Child Tax Credit by $50 for each $1,000 by which your modified adjusted gross income (AGI) exceeds the income threshold.</w:t>
      </w:r>
    </w:p>
    <w:p w14:paraId="2C470EDC" w14:textId="77777777" w:rsidR="00E45730" w:rsidRDefault="00E45730" w:rsidP="00E45730">
      <w:pPr>
        <w:pStyle w:val="NormalWeb"/>
        <w:spacing w:before="0" w:beforeAutospacing="0" w:after="0" w:afterAutospacing="0"/>
        <w:rPr>
          <w:rFonts w:ascii="Calibri" w:hAnsi="Calibri" w:cs="Calibri"/>
          <w:color w:val="000000"/>
        </w:rPr>
      </w:pPr>
    </w:p>
    <w:p w14:paraId="446BAAFA" w14:textId="3D11E284" w:rsidR="00802066" w:rsidRDefault="00802066" w:rsidP="00E45730">
      <w:pPr>
        <w:pStyle w:val="NormalWeb"/>
        <w:spacing w:before="0" w:beforeAutospacing="0" w:after="0" w:afterAutospacing="0"/>
        <w:rPr>
          <w:rFonts w:ascii="Calibri" w:hAnsi="Calibri" w:cs="Calibri"/>
          <w:color w:val="000000"/>
        </w:rPr>
      </w:pPr>
      <w:r>
        <w:rPr>
          <w:rFonts w:ascii="Calibri" w:hAnsi="Calibri" w:cs="Calibri"/>
          <w:color w:val="000000"/>
        </w:rPr>
        <w:t>The second phase-out limit will further reduce the credit by an additional $50 for each $1,000 by which your modified AGI exceeds the income threshold. The thresholds for each phaseout limit are shown below.</w:t>
      </w:r>
    </w:p>
    <w:p w14:paraId="722BBE90" w14:textId="77777777" w:rsidR="00E45730" w:rsidRDefault="00E45730" w:rsidP="00E45730">
      <w:pPr>
        <w:pStyle w:val="NormalWeb"/>
        <w:spacing w:before="0" w:beforeAutospacing="0" w:after="0" w:afterAutospacing="0"/>
      </w:pPr>
    </w:p>
    <w:p w14:paraId="7CB2D362" w14:textId="1EC66143" w:rsidR="00802066" w:rsidRDefault="00802066" w:rsidP="00E45730">
      <w:pPr>
        <w:pStyle w:val="NormalWeb"/>
        <w:spacing w:before="0" w:beforeAutospacing="0" w:after="0" w:afterAutospacing="0"/>
        <w:rPr>
          <w:rFonts w:ascii="Calibri" w:hAnsi="Calibri" w:cs="Calibri"/>
          <w:color w:val="000000"/>
        </w:rPr>
      </w:pPr>
      <w:r>
        <w:rPr>
          <w:rFonts w:ascii="Calibri" w:hAnsi="Calibri" w:cs="Calibri"/>
          <w:color w:val="000000"/>
        </w:rPr>
        <w:t>There still remains a tax credit of up to $500 for other dependents who may not qualify for the Child Tax Credit. Children you plan to claim as dependents must have Social Security numbers prior to the due date of your tax return. Children who do not have Social Security numbers but have individual taxpayer identification numbers may be claimed under the new credit for other dependents.</w:t>
      </w:r>
    </w:p>
    <w:p w14:paraId="3B8E0DC6" w14:textId="77777777" w:rsidR="005508B5" w:rsidRDefault="005508B5" w:rsidP="00E61CF0">
      <w:pPr>
        <w:pStyle w:val="NormalWeb"/>
        <w:spacing w:before="0" w:beforeAutospacing="0" w:after="0" w:afterAutospacing="0"/>
        <w:rPr>
          <w:rFonts w:ascii="Calibri" w:hAnsi="Calibri" w:cs="Calibri"/>
          <w:color w:val="000000"/>
        </w:rPr>
      </w:pPr>
    </w:p>
    <w:tbl>
      <w:tblPr>
        <w:tblW w:w="0" w:type="auto"/>
        <w:jc w:val="center"/>
        <w:tblLayout w:type="fixed"/>
        <w:tblCellMar>
          <w:left w:w="0" w:type="dxa"/>
          <w:right w:w="0" w:type="dxa"/>
        </w:tblCellMar>
        <w:tblLook w:val="01E0" w:firstRow="1" w:lastRow="1" w:firstColumn="1" w:lastColumn="1" w:noHBand="0" w:noVBand="0"/>
      </w:tblPr>
      <w:tblGrid>
        <w:gridCol w:w="3324"/>
        <w:gridCol w:w="1910"/>
        <w:gridCol w:w="1788"/>
      </w:tblGrid>
      <w:tr w:rsidR="00802066" w:rsidRPr="00D01C33" w14:paraId="63B73C92" w14:textId="77777777" w:rsidTr="004E4B15">
        <w:trPr>
          <w:trHeight w:val="215"/>
          <w:jc w:val="center"/>
        </w:trPr>
        <w:tc>
          <w:tcPr>
            <w:tcW w:w="3324" w:type="dxa"/>
          </w:tcPr>
          <w:p w14:paraId="7CA4665A" w14:textId="172DD2F3" w:rsidR="00802066" w:rsidRPr="0065680E" w:rsidRDefault="00802066" w:rsidP="004E7B5B">
            <w:pPr>
              <w:pStyle w:val="TableParagraph"/>
              <w:spacing w:before="0"/>
              <w:ind w:right="490"/>
              <w:rPr>
                <w:rFonts w:asciiTheme="minorHAnsi" w:hAnsiTheme="minorHAnsi" w:cstheme="minorHAnsi"/>
                <w:b/>
                <w:color w:val="0070C0"/>
                <w:sz w:val="20"/>
                <w:szCs w:val="20"/>
              </w:rPr>
            </w:pPr>
          </w:p>
        </w:tc>
        <w:tc>
          <w:tcPr>
            <w:tcW w:w="1910" w:type="dxa"/>
          </w:tcPr>
          <w:p w14:paraId="49F78534" w14:textId="4421E0DC" w:rsidR="00802066" w:rsidRPr="0065680E" w:rsidRDefault="00802066" w:rsidP="004E7B5B">
            <w:pPr>
              <w:pStyle w:val="TableParagraph"/>
              <w:spacing w:before="0"/>
              <w:ind w:right="490"/>
              <w:rPr>
                <w:rFonts w:asciiTheme="minorHAnsi" w:hAnsiTheme="minorHAnsi" w:cstheme="minorHAnsi"/>
                <w:b/>
                <w:color w:val="0070C0"/>
                <w:sz w:val="20"/>
                <w:szCs w:val="20"/>
              </w:rPr>
            </w:pPr>
            <w:r w:rsidRPr="0084136E">
              <w:rPr>
                <w:rFonts w:asciiTheme="minorHAnsi" w:hAnsiTheme="minorHAnsi" w:cstheme="minorHAnsi"/>
                <w:b/>
                <w:color w:val="4B6C90"/>
                <w:sz w:val="20"/>
                <w:szCs w:val="20"/>
              </w:rPr>
              <w:t>First Phaseout Limit</w:t>
            </w:r>
          </w:p>
        </w:tc>
        <w:tc>
          <w:tcPr>
            <w:tcW w:w="1788" w:type="dxa"/>
          </w:tcPr>
          <w:p w14:paraId="37BDF522" w14:textId="211FEA85" w:rsidR="00802066" w:rsidRPr="0065680E" w:rsidRDefault="00802066" w:rsidP="004E7B5B">
            <w:pPr>
              <w:pStyle w:val="TableParagraph"/>
              <w:spacing w:before="0"/>
              <w:ind w:right="490"/>
              <w:rPr>
                <w:rFonts w:asciiTheme="minorHAnsi" w:hAnsiTheme="minorHAnsi" w:cstheme="minorHAnsi"/>
                <w:b/>
                <w:color w:val="0070C0"/>
                <w:sz w:val="20"/>
                <w:szCs w:val="20"/>
              </w:rPr>
            </w:pPr>
            <w:r w:rsidRPr="0084136E">
              <w:rPr>
                <w:rFonts w:asciiTheme="minorHAnsi" w:hAnsiTheme="minorHAnsi" w:cstheme="minorHAnsi"/>
                <w:b/>
                <w:color w:val="4B6C90"/>
                <w:sz w:val="20"/>
                <w:szCs w:val="20"/>
              </w:rPr>
              <w:t>Second Phaseout Limit</w:t>
            </w:r>
          </w:p>
        </w:tc>
      </w:tr>
      <w:tr w:rsidR="00802066" w:rsidRPr="00D01C33" w14:paraId="0362631B" w14:textId="77777777" w:rsidTr="004E4B15">
        <w:trPr>
          <w:trHeight w:val="169"/>
          <w:jc w:val="center"/>
        </w:trPr>
        <w:tc>
          <w:tcPr>
            <w:tcW w:w="3324" w:type="dxa"/>
          </w:tcPr>
          <w:p w14:paraId="079B9EA2" w14:textId="64A52F28" w:rsidR="00802066" w:rsidRPr="00D01C33" w:rsidRDefault="00D92825" w:rsidP="004E7B5B">
            <w:pPr>
              <w:pStyle w:val="TableParagraph"/>
              <w:spacing w:before="0"/>
              <w:ind w:right="490"/>
              <w:rPr>
                <w:rFonts w:asciiTheme="minorHAnsi" w:hAnsiTheme="minorHAnsi" w:cstheme="minorHAnsi"/>
              </w:rPr>
            </w:pPr>
            <w:r w:rsidRPr="00D01C33">
              <w:rPr>
                <w:rFonts w:asciiTheme="minorHAnsi" w:hAnsiTheme="minorHAnsi" w:cstheme="minorHAnsi"/>
                <w:color w:val="231F20"/>
              </w:rPr>
              <w:t>Married</w:t>
            </w:r>
            <w:r>
              <w:rPr>
                <w:rFonts w:asciiTheme="minorHAnsi" w:hAnsiTheme="minorHAnsi" w:cstheme="minorHAnsi"/>
                <w:color w:val="231F20"/>
              </w:rPr>
              <w:t>,</w:t>
            </w:r>
            <w:r w:rsidRPr="00D01C33">
              <w:rPr>
                <w:rFonts w:asciiTheme="minorHAnsi" w:hAnsiTheme="minorHAnsi" w:cstheme="minorHAnsi"/>
                <w:color w:val="231F20"/>
              </w:rPr>
              <w:t xml:space="preserve"> filing jointly</w:t>
            </w:r>
          </w:p>
        </w:tc>
        <w:tc>
          <w:tcPr>
            <w:tcW w:w="1910" w:type="dxa"/>
          </w:tcPr>
          <w:p w14:paraId="78216E69" w14:textId="20C6A73D" w:rsidR="00802066" w:rsidRPr="00D01C33" w:rsidRDefault="00802066" w:rsidP="004E7B5B">
            <w:pPr>
              <w:ind w:right="490"/>
              <w:rPr>
                <w:rFonts w:asciiTheme="minorHAnsi" w:hAnsiTheme="minorHAnsi" w:cstheme="minorHAnsi"/>
              </w:rPr>
            </w:pPr>
            <w:r w:rsidRPr="00D01C33">
              <w:rPr>
                <w:rFonts w:asciiTheme="minorHAnsi" w:hAnsiTheme="minorHAnsi" w:cstheme="minorHAnsi"/>
              </w:rPr>
              <w:t>$1</w:t>
            </w:r>
            <w:r w:rsidR="00D92825">
              <w:rPr>
                <w:rFonts w:asciiTheme="minorHAnsi" w:hAnsiTheme="minorHAnsi" w:cstheme="minorHAnsi"/>
              </w:rPr>
              <w:t>50,000</w:t>
            </w:r>
          </w:p>
        </w:tc>
        <w:tc>
          <w:tcPr>
            <w:tcW w:w="1788" w:type="dxa"/>
          </w:tcPr>
          <w:p w14:paraId="3595AFE0" w14:textId="7FB8652B" w:rsidR="00802066" w:rsidRPr="00D01C33" w:rsidRDefault="00802066" w:rsidP="004E7B5B">
            <w:pPr>
              <w:ind w:right="490"/>
              <w:rPr>
                <w:rFonts w:asciiTheme="minorHAnsi" w:hAnsiTheme="minorHAnsi" w:cstheme="minorHAnsi"/>
              </w:rPr>
            </w:pPr>
            <w:r w:rsidRPr="00D01C33">
              <w:rPr>
                <w:rFonts w:asciiTheme="minorHAnsi" w:hAnsiTheme="minorHAnsi" w:cstheme="minorHAnsi"/>
              </w:rPr>
              <w:t>$</w:t>
            </w:r>
            <w:r w:rsidR="00D92825">
              <w:rPr>
                <w:rFonts w:asciiTheme="minorHAnsi" w:hAnsiTheme="minorHAnsi" w:cstheme="minorHAnsi"/>
              </w:rPr>
              <w:t>400,000</w:t>
            </w:r>
          </w:p>
        </w:tc>
      </w:tr>
      <w:tr w:rsidR="00802066" w:rsidRPr="00D01C33" w14:paraId="27E57BB4" w14:textId="77777777" w:rsidTr="004E4B15">
        <w:trPr>
          <w:trHeight w:val="179"/>
          <w:jc w:val="center"/>
        </w:trPr>
        <w:tc>
          <w:tcPr>
            <w:tcW w:w="3324" w:type="dxa"/>
          </w:tcPr>
          <w:p w14:paraId="7080BC6D" w14:textId="5F536B3A" w:rsidR="00802066" w:rsidRPr="00D01C33" w:rsidRDefault="00D92825" w:rsidP="004E7B5B">
            <w:pPr>
              <w:pStyle w:val="TableParagraph"/>
              <w:spacing w:before="0"/>
              <w:ind w:right="490"/>
              <w:rPr>
                <w:rFonts w:asciiTheme="minorHAnsi" w:hAnsiTheme="minorHAnsi" w:cstheme="minorHAnsi"/>
              </w:rPr>
            </w:pPr>
            <w:r w:rsidRPr="00D01C33">
              <w:rPr>
                <w:rFonts w:asciiTheme="minorHAnsi" w:hAnsiTheme="minorHAnsi" w:cstheme="minorHAnsi"/>
                <w:color w:val="231F20"/>
              </w:rPr>
              <w:t>Head of household</w:t>
            </w:r>
          </w:p>
        </w:tc>
        <w:tc>
          <w:tcPr>
            <w:tcW w:w="1910" w:type="dxa"/>
          </w:tcPr>
          <w:p w14:paraId="15C99597" w14:textId="636979B0" w:rsidR="00802066" w:rsidRPr="00D01C33" w:rsidRDefault="00802066" w:rsidP="004E7B5B">
            <w:pPr>
              <w:ind w:right="490"/>
              <w:rPr>
                <w:rFonts w:asciiTheme="minorHAnsi" w:hAnsiTheme="minorHAnsi" w:cstheme="minorHAnsi"/>
              </w:rPr>
            </w:pPr>
            <w:r w:rsidRPr="00D01C33">
              <w:rPr>
                <w:rFonts w:asciiTheme="minorHAnsi" w:hAnsiTheme="minorHAnsi" w:cstheme="minorHAnsi"/>
              </w:rPr>
              <w:t>$</w:t>
            </w:r>
            <w:r w:rsidR="00D92825">
              <w:rPr>
                <w:rFonts w:asciiTheme="minorHAnsi" w:hAnsiTheme="minorHAnsi" w:cstheme="minorHAnsi"/>
              </w:rPr>
              <w:t>112,500</w:t>
            </w:r>
          </w:p>
        </w:tc>
        <w:tc>
          <w:tcPr>
            <w:tcW w:w="1788" w:type="dxa"/>
          </w:tcPr>
          <w:p w14:paraId="717C7C39" w14:textId="1B76E547" w:rsidR="00802066" w:rsidRPr="00D01C33" w:rsidRDefault="00802066" w:rsidP="004E7B5B">
            <w:pPr>
              <w:ind w:right="490"/>
              <w:rPr>
                <w:rFonts w:asciiTheme="minorHAnsi" w:hAnsiTheme="minorHAnsi" w:cstheme="minorHAnsi"/>
              </w:rPr>
            </w:pPr>
            <w:r w:rsidRPr="00D01C33">
              <w:rPr>
                <w:rFonts w:asciiTheme="minorHAnsi" w:hAnsiTheme="minorHAnsi" w:cstheme="minorHAnsi"/>
              </w:rPr>
              <w:t>$2</w:t>
            </w:r>
            <w:r w:rsidR="00D92825">
              <w:rPr>
                <w:rFonts w:asciiTheme="minorHAnsi" w:hAnsiTheme="minorHAnsi" w:cstheme="minorHAnsi"/>
              </w:rPr>
              <w:t>00,000</w:t>
            </w:r>
          </w:p>
        </w:tc>
      </w:tr>
      <w:tr w:rsidR="00802066" w:rsidRPr="00D01C33" w14:paraId="00A00D60" w14:textId="77777777" w:rsidTr="004E4B15">
        <w:trPr>
          <w:trHeight w:val="179"/>
          <w:jc w:val="center"/>
        </w:trPr>
        <w:tc>
          <w:tcPr>
            <w:tcW w:w="3324" w:type="dxa"/>
          </w:tcPr>
          <w:p w14:paraId="1D695C98" w14:textId="6A79FB28" w:rsidR="00802066" w:rsidRPr="00D01C33" w:rsidRDefault="00D92825" w:rsidP="004E7B5B">
            <w:pPr>
              <w:pStyle w:val="TableParagraph"/>
              <w:spacing w:before="0"/>
              <w:ind w:right="490"/>
              <w:rPr>
                <w:rFonts w:asciiTheme="minorHAnsi" w:hAnsiTheme="minorHAnsi" w:cstheme="minorHAnsi"/>
              </w:rPr>
            </w:pPr>
            <w:r>
              <w:rPr>
                <w:rFonts w:asciiTheme="minorHAnsi" w:hAnsiTheme="minorHAnsi" w:cstheme="minorHAnsi"/>
              </w:rPr>
              <w:t>Single</w:t>
            </w:r>
          </w:p>
        </w:tc>
        <w:tc>
          <w:tcPr>
            <w:tcW w:w="1910" w:type="dxa"/>
          </w:tcPr>
          <w:p w14:paraId="6E11ECC3" w14:textId="7847DB8D" w:rsidR="00802066" w:rsidRPr="00D01C33" w:rsidRDefault="00802066" w:rsidP="004E7B5B">
            <w:pPr>
              <w:ind w:right="490"/>
              <w:rPr>
                <w:rFonts w:asciiTheme="minorHAnsi" w:hAnsiTheme="minorHAnsi" w:cstheme="minorHAnsi"/>
              </w:rPr>
            </w:pPr>
            <w:r w:rsidRPr="00D01C33">
              <w:rPr>
                <w:rFonts w:asciiTheme="minorHAnsi" w:hAnsiTheme="minorHAnsi" w:cstheme="minorHAnsi"/>
              </w:rPr>
              <w:t>$</w:t>
            </w:r>
            <w:r w:rsidR="00D92825">
              <w:rPr>
                <w:rFonts w:asciiTheme="minorHAnsi" w:hAnsiTheme="minorHAnsi" w:cstheme="minorHAnsi"/>
              </w:rPr>
              <w:t>75,000</w:t>
            </w:r>
          </w:p>
        </w:tc>
        <w:tc>
          <w:tcPr>
            <w:tcW w:w="1788" w:type="dxa"/>
          </w:tcPr>
          <w:p w14:paraId="40B4E1DC" w14:textId="56A2EE68" w:rsidR="00802066" w:rsidRPr="00D01C33" w:rsidRDefault="00802066" w:rsidP="004E7B5B">
            <w:pPr>
              <w:ind w:right="490"/>
              <w:rPr>
                <w:rFonts w:asciiTheme="minorHAnsi" w:hAnsiTheme="minorHAnsi" w:cstheme="minorHAnsi"/>
              </w:rPr>
            </w:pPr>
            <w:r w:rsidRPr="00D01C33">
              <w:rPr>
                <w:rFonts w:asciiTheme="minorHAnsi" w:hAnsiTheme="minorHAnsi" w:cstheme="minorHAnsi"/>
              </w:rPr>
              <w:t>$</w:t>
            </w:r>
            <w:r w:rsidR="00D92825">
              <w:rPr>
                <w:rFonts w:asciiTheme="minorHAnsi" w:hAnsiTheme="minorHAnsi" w:cstheme="minorHAnsi"/>
              </w:rPr>
              <w:t>200,000</w:t>
            </w:r>
          </w:p>
        </w:tc>
      </w:tr>
    </w:tbl>
    <w:p w14:paraId="3009E40B" w14:textId="77777777" w:rsidR="00F71750" w:rsidRPr="00860547" w:rsidRDefault="00F71750" w:rsidP="00F71750">
      <w:pPr>
        <w:tabs>
          <w:tab w:val="left" w:pos="879"/>
          <w:tab w:val="left" w:pos="880"/>
        </w:tabs>
        <w:ind w:left="158" w:right="490"/>
        <w:rPr>
          <w:rFonts w:asciiTheme="minorHAnsi" w:hAnsiTheme="minorHAnsi" w:cstheme="minorHAnsi"/>
          <w:color w:val="231F20"/>
        </w:rPr>
      </w:pPr>
    </w:p>
    <w:p w14:paraId="067E37F7" w14:textId="77777777" w:rsidR="00F71750" w:rsidRPr="0084136E" w:rsidRDefault="00F71750" w:rsidP="00F71750">
      <w:pPr>
        <w:pStyle w:val="Heading1"/>
        <w:spacing w:before="0"/>
        <w:ind w:left="0"/>
        <w:jc w:val="both"/>
        <w:rPr>
          <w:rFonts w:asciiTheme="minorHAnsi" w:hAnsiTheme="minorHAnsi" w:cstheme="minorHAnsi"/>
          <w:color w:val="4B6C90"/>
          <w:sz w:val="24"/>
          <w:szCs w:val="24"/>
        </w:rPr>
      </w:pPr>
      <w:r w:rsidRPr="0084136E">
        <w:rPr>
          <w:rFonts w:asciiTheme="minorHAnsi" w:hAnsiTheme="minorHAnsi" w:cstheme="minorHAnsi"/>
          <w:color w:val="4B6C90"/>
          <w:w w:val="115"/>
          <w:sz w:val="24"/>
          <w:szCs w:val="24"/>
        </w:rPr>
        <w:t>Preparing for the Tax Season</w:t>
      </w:r>
    </w:p>
    <w:p w14:paraId="55A84488" w14:textId="133A87A3" w:rsidR="00D92825" w:rsidRDefault="00D92825" w:rsidP="00E45730">
      <w:pPr>
        <w:rPr>
          <w:rFonts w:ascii="Calibri" w:hAnsi="Calibri" w:cs="Calibri"/>
          <w:color w:val="000000"/>
        </w:rPr>
      </w:pPr>
      <w:r w:rsidRPr="00D92825">
        <w:rPr>
          <w:rFonts w:ascii="Calibri" w:hAnsi="Calibri" w:cs="Calibri"/>
          <w:color w:val="000000"/>
        </w:rPr>
        <w:t>Planning well in advance of the tax season may help better prepare you for the unexpected. Here are several reasons to begin planning early:</w:t>
      </w:r>
    </w:p>
    <w:p w14:paraId="47722C4A" w14:textId="77777777" w:rsidR="00E45730" w:rsidRPr="00D92825" w:rsidRDefault="00E45730" w:rsidP="00E45730"/>
    <w:p w14:paraId="335A0859" w14:textId="77777777" w:rsidR="00D92825" w:rsidRPr="00D92825" w:rsidRDefault="00D92825" w:rsidP="00D92825">
      <w:pPr>
        <w:numPr>
          <w:ilvl w:val="0"/>
          <w:numId w:val="16"/>
        </w:numPr>
        <w:textAlignment w:val="baseline"/>
        <w:rPr>
          <w:rFonts w:ascii="Calibri" w:hAnsi="Calibri" w:cs="Calibri"/>
          <w:color w:val="000000"/>
        </w:rPr>
      </w:pPr>
      <w:r w:rsidRPr="00D92825">
        <w:rPr>
          <w:rFonts w:ascii="Calibri" w:hAnsi="Calibri" w:cs="Calibri"/>
          <w:color w:val="000000"/>
        </w:rPr>
        <w:t>Your home, job, or relationships changed in 2021</w:t>
      </w:r>
    </w:p>
    <w:p w14:paraId="1FFF0A3D" w14:textId="77777777" w:rsidR="00D92825" w:rsidRPr="00D92825" w:rsidRDefault="00D92825" w:rsidP="00D92825">
      <w:pPr>
        <w:numPr>
          <w:ilvl w:val="0"/>
          <w:numId w:val="16"/>
        </w:numPr>
        <w:textAlignment w:val="baseline"/>
        <w:rPr>
          <w:rFonts w:ascii="Calibri" w:hAnsi="Calibri" w:cs="Calibri"/>
          <w:color w:val="000000"/>
        </w:rPr>
      </w:pPr>
      <w:r w:rsidRPr="00D92825">
        <w:rPr>
          <w:rFonts w:ascii="Calibri" w:hAnsi="Calibri" w:cs="Calibri"/>
          <w:color w:val="000000"/>
        </w:rPr>
        <w:t>You need to start saving money if you may owe taxes</w:t>
      </w:r>
    </w:p>
    <w:p w14:paraId="163879B7" w14:textId="77777777" w:rsidR="00D92825" w:rsidRPr="00D92825" w:rsidRDefault="00D92825" w:rsidP="00D92825">
      <w:pPr>
        <w:numPr>
          <w:ilvl w:val="0"/>
          <w:numId w:val="16"/>
        </w:numPr>
        <w:textAlignment w:val="baseline"/>
        <w:rPr>
          <w:rFonts w:ascii="Calibri" w:hAnsi="Calibri" w:cs="Calibri"/>
          <w:color w:val="000000"/>
        </w:rPr>
      </w:pPr>
      <w:r w:rsidRPr="00D92825">
        <w:rPr>
          <w:rFonts w:ascii="Calibri" w:hAnsi="Calibri" w:cs="Calibri"/>
          <w:color w:val="000000"/>
        </w:rPr>
        <w:t>You want to ensure you qualify for tax deductions</w:t>
      </w:r>
    </w:p>
    <w:p w14:paraId="0FA213C3" w14:textId="77777777" w:rsidR="00D92825" w:rsidRPr="00D92825" w:rsidRDefault="00D92825" w:rsidP="00D92825"/>
    <w:p w14:paraId="57DCCEBE" w14:textId="0219F5F1" w:rsidR="00D92825" w:rsidRDefault="00D92825" w:rsidP="00E45730">
      <w:pPr>
        <w:rPr>
          <w:rFonts w:ascii="Calibri" w:hAnsi="Calibri" w:cs="Calibri"/>
          <w:color w:val="000000"/>
        </w:rPr>
      </w:pPr>
      <w:r w:rsidRPr="00D92825">
        <w:rPr>
          <w:rFonts w:ascii="Calibri" w:hAnsi="Calibri" w:cs="Calibri"/>
          <w:color w:val="000000"/>
        </w:rPr>
        <w:t>You can make changes throughout the year to ensure that your tax preparations go smoothly.</w:t>
      </w:r>
    </w:p>
    <w:p w14:paraId="38FCD6F9" w14:textId="77777777" w:rsidR="00E45730" w:rsidRPr="00D92825" w:rsidRDefault="00E45730" w:rsidP="00E45730"/>
    <w:p w14:paraId="473DE157" w14:textId="77777777" w:rsidR="002D1B08" w:rsidRDefault="00D92825" w:rsidP="00E45730">
      <w:r w:rsidRPr="00D92825">
        <w:rPr>
          <w:rFonts w:ascii="Calibri" w:hAnsi="Calibri" w:cs="Calibri"/>
          <w:color w:val="000000"/>
        </w:rPr>
        <w:t>In particular, you can make periodic assessments of your paycheck withholdings so that you will get a refund or can reduce or eliminate your tax burden.</w:t>
      </w:r>
    </w:p>
    <w:p w14:paraId="4A87F476" w14:textId="77777777" w:rsidR="002D1B08" w:rsidRDefault="002D1B08" w:rsidP="00E45730"/>
    <w:p w14:paraId="51E10924" w14:textId="2BFAAB3C" w:rsidR="00D92825" w:rsidRPr="002D1B08" w:rsidRDefault="00D92825" w:rsidP="00E45730">
      <w:r w:rsidRPr="00D92825">
        <w:rPr>
          <w:rFonts w:ascii="Calibri" w:hAnsi="Calibri" w:cs="Calibri"/>
          <w:color w:val="000000"/>
        </w:rPr>
        <w:t xml:space="preserve">You should keep track of and store your tax and other financial records to avoid delays or frantic preparations as the filing deadline approaches. Records may include W-2 forms, canceled checks, </w:t>
      </w:r>
      <w:r w:rsidR="004E4B15">
        <w:rPr>
          <w:rFonts w:ascii="Calibri" w:hAnsi="Calibri" w:cs="Calibri"/>
          <w:color w:val="000000"/>
        </w:rPr>
        <w:br/>
      </w:r>
      <w:r w:rsidRPr="00D92825">
        <w:rPr>
          <w:rFonts w:ascii="Calibri" w:hAnsi="Calibri" w:cs="Calibri"/>
          <w:color w:val="000000"/>
        </w:rPr>
        <w:t>certain receipts, and previous-year returns.</w:t>
      </w:r>
    </w:p>
    <w:p w14:paraId="7FC50327" w14:textId="77777777" w:rsidR="00E45730" w:rsidRPr="00D92825" w:rsidRDefault="00E45730" w:rsidP="00E45730"/>
    <w:p w14:paraId="412887D0" w14:textId="4416F36B" w:rsidR="00D92825" w:rsidRDefault="00D92825" w:rsidP="00E45730">
      <w:pPr>
        <w:rPr>
          <w:rFonts w:ascii="Calibri" w:hAnsi="Calibri" w:cs="Calibri"/>
          <w:color w:val="000000"/>
        </w:rPr>
      </w:pPr>
      <w:r w:rsidRPr="00D92825">
        <w:rPr>
          <w:rFonts w:ascii="Calibri" w:hAnsi="Calibri" w:cs="Calibri"/>
          <w:color w:val="000000"/>
        </w:rPr>
        <w:t>Here is a list of other items to start gathering:</w:t>
      </w:r>
    </w:p>
    <w:p w14:paraId="3F851A46" w14:textId="77777777" w:rsidR="00E45730" w:rsidRPr="00D92825" w:rsidRDefault="00E45730" w:rsidP="00E45730"/>
    <w:p w14:paraId="4AEF1951"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Pay stubs</w:t>
      </w:r>
    </w:p>
    <w:p w14:paraId="51AB21B3"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Mortgage payment records</w:t>
      </w:r>
    </w:p>
    <w:p w14:paraId="2D38B1BC"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Closing paperwork on home purchases</w:t>
      </w:r>
    </w:p>
    <w:p w14:paraId="73074DBD"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Receipts for items or services you may want to claim as itemized deductions</w:t>
      </w:r>
    </w:p>
    <w:p w14:paraId="7A3E40B2"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Records on charity giving and donations</w:t>
      </w:r>
    </w:p>
    <w:p w14:paraId="4144E260"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lastRenderedPageBreak/>
        <w:t>Mileage logs on cars used for business</w:t>
      </w:r>
    </w:p>
    <w:p w14:paraId="0AAD6481"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Business travel receipts</w:t>
      </w:r>
    </w:p>
    <w:p w14:paraId="38F5645B"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Credit card and bank statements to verify deductions</w:t>
      </w:r>
    </w:p>
    <w:p w14:paraId="3917D971"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Medical bills</w:t>
      </w:r>
    </w:p>
    <w:p w14:paraId="62FD8A7B"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1099-G forms for state and local taxes</w:t>
      </w:r>
    </w:p>
    <w:p w14:paraId="33B686FF" w14:textId="77777777" w:rsidR="00D92825" w:rsidRPr="00D92825" w:rsidRDefault="00D92825" w:rsidP="00D92825">
      <w:pPr>
        <w:numPr>
          <w:ilvl w:val="0"/>
          <w:numId w:val="17"/>
        </w:numPr>
        <w:textAlignment w:val="baseline"/>
        <w:rPr>
          <w:rFonts w:ascii="Calibri" w:hAnsi="Calibri" w:cs="Calibri"/>
          <w:color w:val="000000"/>
        </w:rPr>
      </w:pPr>
      <w:r w:rsidRPr="00D92825">
        <w:rPr>
          <w:rFonts w:ascii="Calibri" w:hAnsi="Calibri" w:cs="Calibri"/>
          <w:color w:val="000000"/>
        </w:rPr>
        <w:t>1099 forms for dividend or other income</w:t>
      </w:r>
    </w:p>
    <w:p w14:paraId="7C65B734" w14:textId="77777777" w:rsidR="00D92825" w:rsidRPr="00D92825" w:rsidRDefault="00D92825" w:rsidP="00D92825"/>
    <w:p w14:paraId="65324C89" w14:textId="77777777" w:rsidR="00D92825" w:rsidRPr="00D92825" w:rsidRDefault="00D92825" w:rsidP="00E61CF0">
      <w:r w:rsidRPr="00D92825">
        <w:rPr>
          <w:rFonts w:ascii="Calibri" w:hAnsi="Calibri" w:cs="Calibri"/>
          <w:color w:val="000000"/>
        </w:rPr>
        <w:t>During the first few months of 2022, make sure you receive your W-2 and 1099 forms as well as other tax documents. Leave adequate time to collect documents and prepare to file your taxes prior to the April 15, 2022 deadline.</w:t>
      </w:r>
    </w:p>
    <w:p w14:paraId="02A2096A" w14:textId="77777777" w:rsidR="00F71750" w:rsidRPr="00860547" w:rsidRDefault="00F71750" w:rsidP="00D92825">
      <w:pPr>
        <w:pStyle w:val="Heading1"/>
        <w:spacing w:before="0"/>
        <w:ind w:left="0"/>
        <w:rPr>
          <w:rFonts w:asciiTheme="minorHAnsi" w:hAnsiTheme="minorHAnsi" w:cstheme="minorHAnsi"/>
          <w:color w:val="0070C0"/>
          <w:w w:val="110"/>
          <w:sz w:val="24"/>
          <w:szCs w:val="24"/>
        </w:rPr>
      </w:pPr>
    </w:p>
    <w:p w14:paraId="1D4FE328" w14:textId="1F644E33" w:rsidR="00F71750" w:rsidRPr="0084136E" w:rsidRDefault="00D92825" w:rsidP="003170BE">
      <w:pPr>
        <w:pStyle w:val="Heading1"/>
        <w:spacing w:before="0"/>
        <w:ind w:left="0"/>
        <w:rPr>
          <w:rFonts w:asciiTheme="minorHAnsi" w:hAnsiTheme="minorHAnsi" w:cstheme="minorHAnsi"/>
          <w:color w:val="4B6C90"/>
          <w:w w:val="110"/>
          <w:sz w:val="24"/>
          <w:szCs w:val="24"/>
        </w:rPr>
      </w:pPr>
      <w:r w:rsidRPr="0084136E">
        <w:rPr>
          <w:rFonts w:asciiTheme="minorHAnsi" w:hAnsiTheme="minorHAnsi" w:cstheme="minorHAnsi"/>
          <w:color w:val="4B6C90"/>
          <w:w w:val="110"/>
          <w:sz w:val="24"/>
          <w:szCs w:val="24"/>
        </w:rPr>
        <w:t>Tightening the Nuts and Bolts</w:t>
      </w:r>
    </w:p>
    <w:p w14:paraId="0DEEDEEF" w14:textId="235DAFC2" w:rsidR="00D92825" w:rsidRDefault="00D92825" w:rsidP="00A42F60">
      <w:pPr>
        <w:pStyle w:val="NormalWeb"/>
        <w:spacing w:before="0" w:beforeAutospacing="0" w:after="0" w:afterAutospacing="0"/>
        <w:rPr>
          <w:rFonts w:ascii="Calibri" w:hAnsi="Calibri" w:cs="Calibri"/>
          <w:color w:val="000000"/>
        </w:rPr>
      </w:pPr>
      <w:r>
        <w:rPr>
          <w:rFonts w:ascii="Calibri" w:hAnsi="Calibri" w:cs="Calibri"/>
          <w:color w:val="000000"/>
        </w:rPr>
        <w:t>Although the 2020 tax season is more than six months behind us, the final months of 2021 provide taxpayers with some unique opportunities to avoid unpleasant surprises and scrambling as the finish line draws near.</w:t>
      </w:r>
    </w:p>
    <w:p w14:paraId="5C2C5DBF" w14:textId="77777777" w:rsidR="00A42F60" w:rsidRDefault="00A42F60" w:rsidP="00A42F60">
      <w:pPr>
        <w:pStyle w:val="NormalWeb"/>
        <w:spacing w:before="0" w:beforeAutospacing="0" w:after="0" w:afterAutospacing="0"/>
      </w:pPr>
    </w:p>
    <w:p w14:paraId="1FEB3FE2" w14:textId="2D155209" w:rsidR="00D92825" w:rsidRDefault="00D92825" w:rsidP="00A42F60">
      <w:pPr>
        <w:pStyle w:val="NormalWeb"/>
        <w:spacing w:before="0" w:beforeAutospacing="0" w:after="0" w:afterAutospacing="0"/>
        <w:rPr>
          <w:rFonts w:ascii="Calibri" w:hAnsi="Calibri" w:cs="Calibri"/>
          <w:color w:val="000000"/>
        </w:rPr>
      </w:pPr>
      <w:r>
        <w:rPr>
          <w:rFonts w:ascii="Calibri" w:hAnsi="Calibri" w:cs="Calibri"/>
          <w:color w:val="000000"/>
        </w:rPr>
        <w:t>Here are some ways to prepare this year for next year’s tax season: </w:t>
      </w:r>
    </w:p>
    <w:p w14:paraId="25F90175" w14:textId="77777777" w:rsidR="00A42F60" w:rsidRDefault="00A42F60" w:rsidP="00A42F60">
      <w:pPr>
        <w:pStyle w:val="NormalWeb"/>
        <w:spacing w:before="0" w:beforeAutospacing="0" w:after="0" w:afterAutospacing="0"/>
      </w:pPr>
    </w:p>
    <w:p w14:paraId="1EFE7867" w14:textId="5CB9A557" w:rsidR="00D92825" w:rsidRDefault="00D92825" w:rsidP="00A42F60">
      <w:pPr>
        <w:pStyle w:val="NormalWeb"/>
        <w:spacing w:before="0" w:beforeAutospacing="0" w:after="0" w:afterAutospacing="0"/>
        <w:rPr>
          <w:rFonts w:ascii="Calibri" w:hAnsi="Calibri" w:cs="Calibri"/>
          <w:color w:val="000000"/>
        </w:rPr>
      </w:pPr>
      <w:r w:rsidRPr="0084136E">
        <w:rPr>
          <w:rFonts w:asciiTheme="minorHAnsi" w:hAnsiTheme="minorHAnsi" w:cstheme="minorHAnsi"/>
          <w:b/>
          <w:color w:val="4B6C90"/>
        </w:rPr>
        <w:t>Look at last year:</w:t>
      </w:r>
      <w:r w:rsidRPr="00954266">
        <w:rPr>
          <w:rFonts w:asciiTheme="minorHAnsi" w:hAnsiTheme="minorHAnsi" w:cstheme="minorHAnsi"/>
          <w:b/>
          <w:color w:val="4949CC"/>
        </w:rPr>
        <w:t xml:space="preserve"> </w:t>
      </w:r>
      <w:r>
        <w:rPr>
          <w:rFonts w:ascii="Calibri" w:hAnsi="Calibri" w:cs="Calibri"/>
          <w:color w:val="000000"/>
        </w:rPr>
        <w:t>Take one more look at last year’s return. In the months ahead, you may still have the opportunity to contribute more to your retirement plan, which may lower your taxable income.</w:t>
      </w:r>
    </w:p>
    <w:p w14:paraId="5908F184" w14:textId="77777777" w:rsidR="00A42F60" w:rsidRDefault="00A42F60" w:rsidP="00A42F60">
      <w:pPr>
        <w:pStyle w:val="NormalWeb"/>
        <w:spacing w:before="0" w:beforeAutospacing="0" w:after="0" w:afterAutospacing="0"/>
      </w:pPr>
    </w:p>
    <w:p w14:paraId="235DBCD8" w14:textId="58EE18AC" w:rsidR="00D92825" w:rsidRDefault="00D92825" w:rsidP="00A42F60">
      <w:pPr>
        <w:pStyle w:val="NormalWeb"/>
        <w:spacing w:before="0" w:beforeAutospacing="0" w:after="0" w:afterAutospacing="0"/>
      </w:pPr>
      <w:r w:rsidRPr="0084136E">
        <w:rPr>
          <w:rFonts w:asciiTheme="minorHAnsi" w:hAnsiTheme="minorHAnsi" w:cstheme="minorHAnsi"/>
          <w:b/>
          <w:color w:val="4B6C90"/>
        </w:rPr>
        <w:t>Donate to charity:</w:t>
      </w:r>
      <w:r w:rsidRPr="0084136E">
        <w:rPr>
          <w:rFonts w:ascii="Calibri" w:hAnsi="Calibri" w:cs="Calibri"/>
          <w:color w:val="4B6C90"/>
        </w:rPr>
        <w:t xml:space="preserve"> </w:t>
      </w:r>
      <w:r>
        <w:rPr>
          <w:rFonts w:ascii="Calibri" w:hAnsi="Calibri" w:cs="Calibri"/>
          <w:color w:val="000000"/>
        </w:rPr>
        <w:t>How about “bunching” your charitable donations?</w:t>
      </w:r>
    </w:p>
    <w:p w14:paraId="5E227180" w14:textId="40BC8D9F" w:rsidR="00D92825" w:rsidRDefault="00D92825" w:rsidP="00A42F60">
      <w:pPr>
        <w:pStyle w:val="NormalWeb"/>
        <w:spacing w:before="0" w:beforeAutospacing="0" w:after="0" w:afterAutospacing="0"/>
        <w:rPr>
          <w:rFonts w:ascii="Calibri" w:hAnsi="Calibri" w:cs="Calibri"/>
          <w:color w:val="000000"/>
        </w:rPr>
      </w:pPr>
      <w:r>
        <w:rPr>
          <w:rFonts w:ascii="Calibri" w:hAnsi="Calibri" w:cs="Calibri"/>
          <w:color w:val="000000"/>
        </w:rPr>
        <w:t>Bunching provides you with the ability to optimize your deduction allowances by making two or more years’ worth of charity donations in one year.</w:t>
      </w:r>
    </w:p>
    <w:p w14:paraId="1C91D692" w14:textId="77777777" w:rsidR="00A42F60" w:rsidRDefault="00A42F60" w:rsidP="00A42F60">
      <w:pPr>
        <w:pStyle w:val="NormalWeb"/>
        <w:spacing w:before="0" w:beforeAutospacing="0" w:after="0" w:afterAutospacing="0"/>
      </w:pPr>
    </w:p>
    <w:p w14:paraId="6A691CD4" w14:textId="68569283" w:rsidR="00D92825" w:rsidRDefault="00D92825" w:rsidP="00A42F60">
      <w:pPr>
        <w:pStyle w:val="NormalWeb"/>
        <w:spacing w:before="0" w:beforeAutospacing="0" w:after="0" w:afterAutospacing="0"/>
      </w:pPr>
      <w:r>
        <w:rPr>
          <w:rFonts w:ascii="Calibri" w:hAnsi="Calibri" w:cs="Calibri"/>
          <w:color w:val="000000"/>
        </w:rPr>
        <w:t xml:space="preserve">Let us say you are married, you plan to itemize your deductions, and you plan to make $15,000 in annual donations. By donating $30,000 in one year and skipping the next, you may be able to qualify for a </w:t>
      </w:r>
      <w:r w:rsidR="004E4B15">
        <w:rPr>
          <w:rFonts w:ascii="Calibri" w:hAnsi="Calibri" w:cs="Calibri"/>
          <w:color w:val="000000"/>
        </w:rPr>
        <w:br/>
      </w:r>
      <w:r>
        <w:rPr>
          <w:rFonts w:ascii="Calibri" w:hAnsi="Calibri" w:cs="Calibri"/>
          <w:color w:val="000000"/>
        </w:rPr>
        <w:t>higher deduction.</w:t>
      </w:r>
      <w:r w:rsidR="00E52BF6" w:rsidRPr="00E52BF6">
        <w:rPr>
          <w:rFonts w:ascii="Calibri" w:hAnsi="Calibri" w:cs="Calibri"/>
          <w:color w:val="000000"/>
          <w:vertAlign w:val="superscript"/>
        </w:rPr>
        <w:t>9</w:t>
      </w:r>
    </w:p>
    <w:p w14:paraId="5BABC92F" w14:textId="77777777" w:rsidR="00A42F60" w:rsidRDefault="00A42F60" w:rsidP="00D92825">
      <w:pPr>
        <w:pStyle w:val="NormalWeb"/>
        <w:spacing w:before="0" w:beforeAutospacing="0" w:after="140" w:afterAutospacing="0"/>
        <w:rPr>
          <w:rFonts w:asciiTheme="minorHAnsi" w:hAnsiTheme="minorHAnsi" w:cstheme="minorHAnsi"/>
          <w:b/>
          <w:color w:val="4949CC"/>
        </w:rPr>
      </w:pPr>
    </w:p>
    <w:p w14:paraId="5D83EF58" w14:textId="68520137" w:rsidR="00D92825" w:rsidRDefault="00D92825" w:rsidP="00A42F60">
      <w:pPr>
        <w:pStyle w:val="NormalWeb"/>
        <w:spacing w:before="0" w:beforeAutospacing="0" w:after="0" w:afterAutospacing="0"/>
        <w:rPr>
          <w:rFonts w:ascii="Calibri" w:hAnsi="Calibri" w:cs="Calibri"/>
          <w:color w:val="000000"/>
        </w:rPr>
      </w:pPr>
      <w:r w:rsidRPr="0084136E">
        <w:rPr>
          <w:rFonts w:asciiTheme="minorHAnsi" w:hAnsiTheme="minorHAnsi" w:cstheme="minorHAnsi"/>
          <w:b/>
          <w:color w:val="4B6C90"/>
        </w:rPr>
        <w:t>Review Capital Losses:</w:t>
      </w:r>
      <w:r w:rsidRPr="0084136E">
        <w:rPr>
          <w:rFonts w:ascii="Calibri" w:hAnsi="Calibri" w:cs="Calibri"/>
          <w:color w:val="4B6C90"/>
        </w:rPr>
        <w:t xml:space="preserve"> </w:t>
      </w:r>
      <w:r>
        <w:rPr>
          <w:rFonts w:ascii="Calibri" w:hAnsi="Calibri" w:cs="Calibri"/>
          <w:color w:val="000000"/>
        </w:rPr>
        <w:t>If you are investing in the financial markets, you may want to consider deducting capital losses; you have the opportunity to claim deductions if you experienced losses.</w:t>
      </w:r>
    </w:p>
    <w:p w14:paraId="2D057F76" w14:textId="77777777" w:rsidR="00A42F60" w:rsidRDefault="00A42F60" w:rsidP="00A42F60">
      <w:pPr>
        <w:pStyle w:val="NormalWeb"/>
        <w:spacing w:before="0" w:beforeAutospacing="0" w:after="0" w:afterAutospacing="0"/>
      </w:pPr>
    </w:p>
    <w:p w14:paraId="6FF7107E" w14:textId="77777777" w:rsidR="00A42F60" w:rsidRDefault="00D92825" w:rsidP="00A42F60">
      <w:pPr>
        <w:pStyle w:val="NormalWeb"/>
        <w:spacing w:before="0" w:beforeAutospacing="0" w:after="0" w:afterAutospacing="0"/>
      </w:pPr>
      <w:r>
        <w:rPr>
          <w:rFonts w:ascii="Calibri" w:hAnsi="Calibri" w:cs="Calibri"/>
          <w:color w:val="000000"/>
        </w:rPr>
        <w:t>You can claim losses only if they exceed capital gains. You are allowed to claim the difference of up to $3,000 per year if you are married filing jointly or $1,500 if you are filing separate returns. Net losses that exceed $3,000 can be carried over into future years.</w:t>
      </w:r>
      <w:r w:rsidR="00E52BF6" w:rsidRPr="00E52BF6">
        <w:rPr>
          <w:rFonts w:ascii="Calibri" w:hAnsi="Calibri" w:cs="Calibri"/>
          <w:color w:val="000000"/>
          <w:vertAlign w:val="superscript"/>
        </w:rPr>
        <w:t>10</w:t>
      </w:r>
    </w:p>
    <w:p w14:paraId="754E754B" w14:textId="77777777" w:rsidR="00E45730" w:rsidRDefault="00E45730" w:rsidP="00A42F60">
      <w:pPr>
        <w:pStyle w:val="NormalWeb"/>
        <w:spacing w:before="0" w:beforeAutospacing="0" w:after="0" w:afterAutospacing="0"/>
        <w:rPr>
          <w:rFonts w:ascii="Calibri" w:hAnsi="Calibri" w:cs="Calibri"/>
          <w:color w:val="000000"/>
        </w:rPr>
      </w:pPr>
    </w:p>
    <w:p w14:paraId="776AF293" w14:textId="704DD76D" w:rsidR="00D92825" w:rsidRDefault="00D92825" w:rsidP="00A42F60">
      <w:pPr>
        <w:pStyle w:val="NormalWeb"/>
        <w:spacing w:before="0" w:beforeAutospacing="0" w:after="0" w:afterAutospacing="0"/>
        <w:rPr>
          <w:rFonts w:ascii="Calibri" w:hAnsi="Calibri" w:cs="Calibri"/>
          <w:color w:val="000000"/>
        </w:rPr>
      </w:pPr>
      <w:r>
        <w:rPr>
          <w:rFonts w:ascii="Calibri" w:hAnsi="Calibri" w:cs="Calibri"/>
          <w:color w:val="000000"/>
        </w:rPr>
        <w:t>Deductions for capital losses can only be applied to investment property sales but not to the sale of investment property that was held for personal use. </w:t>
      </w:r>
    </w:p>
    <w:p w14:paraId="566AC58C" w14:textId="77777777" w:rsidR="00A42F60" w:rsidRDefault="00A42F60" w:rsidP="00A42F60">
      <w:pPr>
        <w:pStyle w:val="NormalWeb"/>
        <w:spacing w:before="0" w:beforeAutospacing="0" w:after="0" w:afterAutospacing="0"/>
      </w:pPr>
    </w:p>
    <w:p w14:paraId="5CE8DCA0" w14:textId="59297DC0" w:rsidR="00D92825" w:rsidRDefault="00D92825" w:rsidP="00A42F60">
      <w:pPr>
        <w:pStyle w:val="NormalWeb"/>
        <w:spacing w:before="0" w:beforeAutospacing="0" w:after="0" w:afterAutospacing="0"/>
        <w:rPr>
          <w:rFonts w:ascii="Calibri" w:hAnsi="Calibri" w:cs="Calibri"/>
          <w:color w:val="000000"/>
        </w:rPr>
      </w:pPr>
      <w:r w:rsidRPr="0084136E">
        <w:rPr>
          <w:rFonts w:asciiTheme="minorHAnsi" w:hAnsiTheme="minorHAnsi" w:cstheme="minorHAnsi"/>
          <w:b/>
          <w:color w:val="4B6C90"/>
        </w:rPr>
        <w:t xml:space="preserve">Get organized: </w:t>
      </w:r>
      <w:r>
        <w:rPr>
          <w:rFonts w:ascii="Calibri" w:hAnsi="Calibri" w:cs="Calibri"/>
          <w:color w:val="000000"/>
        </w:rPr>
        <w:t>Find a place to store your tax documents until it is time to prepare to file. A good record-keeping system may alleviate concerns later as the deadline gets closer. </w:t>
      </w:r>
    </w:p>
    <w:p w14:paraId="27CA0C30" w14:textId="77777777" w:rsidR="00A42F60" w:rsidRDefault="00A42F60" w:rsidP="00A42F60">
      <w:pPr>
        <w:pStyle w:val="NormalWeb"/>
        <w:spacing w:before="0" w:beforeAutospacing="0" w:after="0" w:afterAutospacing="0"/>
      </w:pPr>
    </w:p>
    <w:p w14:paraId="6C64BD44" w14:textId="0D425453" w:rsidR="00D92825" w:rsidRDefault="00D92825" w:rsidP="00A42F60">
      <w:pPr>
        <w:pStyle w:val="NormalWeb"/>
        <w:spacing w:before="0" w:beforeAutospacing="0" w:after="0" w:afterAutospacing="0"/>
        <w:rPr>
          <w:rFonts w:ascii="Calibri" w:hAnsi="Calibri" w:cs="Calibri"/>
          <w:color w:val="000000"/>
        </w:rPr>
      </w:pPr>
      <w:r>
        <w:rPr>
          <w:rFonts w:ascii="Calibri" w:hAnsi="Calibri" w:cs="Calibri"/>
          <w:color w:val="000000"/>
        </w:rPr>
        <w:t>If you have your documents or prior-year returns stored on your computer, make sure you back them up on a thumb drive or other device or system in case your computer is hacked or stolen. </w:t>
      </w:r>
    </w:p>
    <w:p w14:paraId="44A9A12F" w14:textId="77777777" w:rsidR="00A42F60" w:rsidRDefault="00A42F60" w:rsidP="00A42F60">
      <w:pPr>
        <w:pStyle w:val="NormalWeb"/>
        <w:spacing w:before="0" w:beforeAutospacing="0" w:after="0" w:afterAutospacing="0"/>
      </w:pPr>
    </w:p>
    <w:p w14:paraId="7F736525" w14:textId="0892497F" w:rsidR="00F71750" w:rsidRPr="002D1B08" w:rsidRDefault="00D92825" w:rsidP="002D1B08">
      <w:pPr>
        <w:pStyle w:val="NormalWeb"/>
        <w:spacing w:before="0" w:beforeAutospacing="0" w:after="0" w:afterAutospacing="0"/>
      </w:pPr>
      <w:r w:rsidRPr="0084136E">
        <w:rPr>
          <w:rFonts w:asciiTheme="minorHAnsi" w:hAnsiTheme="minorHAnsi" w:cstheme="minorHAnsi"/>
          <w:b/>
          <w:color w:val="4B6C90"/>
        </w:rPr>
        <w:t xml:space="preserve">Consider other taxes: </w:t>
      </w:r>
      <w:r>
        <w:rPr>
          <w:rFonts w:ascii="Calibri" w:hAnsi="Calibri" w:cs="Calibri"/>
          <w:color w:val="000000"/>
        </w:rPr>
        <w:t>Keep an eye on local and state government requirements that may affect your specific tax situation.</w:t>
      </w:r>
    </w:p>
    <w:p w14:paraId="08FC4005" w14:textId="77777777" w:rsidR="00F71750" w:rsidRPr="0084136E" w:rsidRDefault="00F71750" w:rsidP="00F71750">
      <w:pPr>
        <w:pStyle w:val="Heading1"/>
        <w:spacing w:before="0"/>
        <w:ind w:left="0"/>
        <w:jc w:val="both"/>
        <w:rPr>
          <w:rFonts w:asciiTheme="minorHAnsi" w:hAnsiTheme="minorHAnsi" w:cstheme="minorHAnsi"/>
          <w:color w:val="4B6C90"/>
          <w:sz w:val="24"/>
          <w:szCs w:val="24"/>
        </w:rPr>
      </w:pPr>
      <w:r w:rsidRPr="0084136E">
        <w:rPr>
          <w:rFonts w:asciiTheme="minorHAnsi" w:hAnsiTheme="minorHAnsi" w:cstheme="minorHAnsi"/>
          <w:color w:val="4B6C90"/>
          <w:w w:val="110"/>
          <w:sz w:val="24"/>
          <w:szCs w:val="24"/>
        </w:rPr>
        <w:lastRenderedPageBreak/>
        <w:t>How Long?</w:t>
      </w:r>
    </w:p>
    <w:p w14:paraId="6065EBBE" w14:textId="3A996848" w:rsidR="001F738D" w:rsidRDefault="001F738D" w:rsidP="00A42F60">
      <w:pPr>
        <w:pStyle w:val="NormalWeb"/>
        <w:spacing w:before="0" w:beforeAutospacing="0" w:after="0" w:afterAutospacing="0"/>
        <w:rPr>
          <w:rFonts w:ascii="Calibri" w:hAnsi="Calibri" w:cs="Calibri"/>
          <w:color w:val="000000"/>
        </w:rPr>
      </w:pPr>
      <w:r>
        <w:rPr>
          <w:rFonts w:ascii="Calibri" w:hAnsi="Calibri" w:cs="Calibri"/>
          <w:color w:val="000000"/>
        </w:rPr>
        <w:t>The IRS provides recommended timelines for retaining financial documents:</w:t>
      </w:r>
      <w:r w:rsidR="00E52BF6" w:rsidRPr="00E52BF6">
        <w:rPr>
          <w:rFonts w:ascii="Calibri" w:hAnsi="Calibri" w:cs="Calibri"/>
          <w:color w:val="000000"/>
          <w:vertAlign w:val="superscript"/>
        </w:rPr>
        <w:t>11</w:t>
      </w:r>
      <w:r>
        <w:rPr>
          <w:rFonts w:ascii="Calibri" w:hAnsi="Calibri" w:cs="Calibri"/>
          <w:color w:val="000000"/>
        </w:rPr>
        <w:t> </w:t>
      </w:r>
    </w:p>
    <w:p w14:paraId="2A4274B0" w14:textId="77777777" w:rsidR="00A42F60" w:rsidRDefault="00A42F60" w:rsidP="00E45730">
      <w:pPr>
        <w:pStyle w:val="NormalWeb"/>
        <w:spacing w:before="0" w:beforeAutospacing="0" w:after="0" w:afterAutospacing="0"/>
      </w:pPr>
    </w:p>
    <w:p w14:paraId="4111B65C" w14:textId="77777777" w:rsidR="001F738D" w:rsidRDefault="001F738D" w:rsidP="001F738D">
      <w:pPr>
        <w:pStyle w:val="NormalWeb"/>
        <w:spacing w:before="60" w:beforeAutospacing="0" w:after="0" w:afterAutospacing="0"/>
        <w:ind w:left="700" w:hanging="260"/>
      </w:pPr>
      <w:r>
        <w:rPr>
          <w:rFonts w:ascii="Calibri" w:hAnsi="Calibri" w:cs="Calibri"/>
          <w:color w:val="000000"/>
        </w:rPr>
        <w:t>1. You should keep your tax records for three years if #4 and #5 below do not apply to you. </w:t>
      </w:r>
    </w:p>
    <w:p w14:paraId="5F8DB532" w14:textId="77777777" w:rsidR="001F738D" w:rsidRDefault="001F738D" w:rsidP="001F738D">
      <w:pPr>
        <w:pStyle w:val="NormalWeb"/>
        <w:spacing w:before="60" w:beforeAutospacing="0" w:after="0" w:afterAutospacing="0"/>
        <w:ind w:left="700" w:hanging="260"/>
      </w:pPr>
      <w:r>
        <w:rPr>
          <w:rFonts w:ascii="Calibri" w:hAnsi="Calibri" w:cs="Calibri"/>
          <w:color w:val="000000"/>
        </w:rPr>
        <w:t>2. You should keep records for three years from the original filing date of your return or two years from the date you paid your taxes. Select whichever is the later date. This is if you claimed a credit or refund after you filed your return. </w:t>
      </w:r>
    </w:p>
    <w:p w14:paraId="5A6D2DD5" w14:textId="77777777" w:rsidR="001F738D" w:rsidRDefault="001F738D" w:rsidP="001F738D">
      <w:pPr>
        <w:pStyle w:val="NormalWeb"/>
        <w:spacing w:before="60" w:beforeAutospacing="0" w:after="0" w:afterAutospacing="0"/>
        <w:ind w:left="700" w:hanging="260"/>
      </w:pPr>
      <w:r>
        <w:rPr>
          <w:rFonts w:ascii="Calibri" w:hAnsi="Calibri" w:cs="Calibri"/>
          <w:color w:val="000000"/>
        </w:rPr>
        <w:t>3. You should keep your records for seven years if you claimed a loss from worthless securities or a bad debt deduction. </w:t>
      </w:r>
    </w:p>
    <w:p w14:paraId="29842916" w14:textId="77777777" w:rsidR="001F738D" w:rsidRDefault="001F738D" w:rsidP="001F738D">
      <w:pPr>
        <w:pStyle w:val="NormalWeb"/>
        <w:spacing w:before="60" w:beforeAutospacing="0" w:after="0" w:afterAutospacing="0"/>
        <w:ind w:left="700" w:hanging="260"/>
      </w:pPr>
      <w:r>
        <w:rPr>
          <w:rFonts w:ascii="Calibri" w:hAnsi="Calibri" w:cs="Calibri"/>
          <w:color w:val="000000"/>
        </w:rPr>
        <w:t>4. You should keep your records for six years if you failed to report income that you should have, and the income was more than 25% of the gross income listed on your return. </w:t>
      </w:r>
    </w:p>
    <w:p w14:paraId="4E28E943" w14:textId="77777777" w:rsidR="001F738D" w:rsidRDefault="001F738D" w:rsidP="001F738D">
      <w:pPr>
        <w:pStyle w:val="NormalWeb"/>
        <w:spacing w:before="60" w:beforeAutospacing="0" w:after="0" w:afterAutospacing="0"/>
        <w:ind w:left="700" w:hanging="260"/>
      </w:pPr>
      <w:r>
        <w:rPr>
          <w:rFonts w:ascii="Calibri" w:hAnsi="Calibri" w:cs="Calibri"/>
          <w:color w:val="000000"/>
        </w:rPr>
        <w:t>5. Keep records indefinitely if you do not file a return.</w:t>
      </w:r>
    </w:p>
    <w:p w14:paraId="128998FE" w14:textId="75346839" w:rsidR="001F738D" w:rsidRDefault="001F738D" w:rsidP="001F738D">
      <w:pPr>
        <w:pStyle w:val="NormalWeb"/>
        <w:spacing w:before="60" w:beforeAutospacing="0" w:after="0" w:afterAutospacing="0"/>
        <w:ind w:left="700" w:hanging="260"/>
        <w:rPr>
          <w:rFonts w:ascii="Calibri" w:hAnsi="Calibri" w:cs="Calibri"/>
          <w:color w:val="000000"/>
        </w:rPr>
      </w:pPr>
      <w:r>
        <w:rPr>
          <w:rFonts w:ascii="Calibri" w:hAnsi="Calibri" w:cs="Calibri"/>
          <w:color w:val="000000"/>
        </w:rPr>
        <w:t xml:space="preserve">6. You should keep employment tax records for at least four years after the due date on the taxes or after you paid the taxes. Select whichever is later. </w:t>
      </w:r>
    </w:p>
    <w:p w14:paraId="52A06583" w14:textId="6E6335B8" w:rsidR="001F738D" w:rsidRDefault="001F738D" w:rsidP="001F738D">
      <w:pPr>
        <w:pStyle w:val="NormalWeb"/>
        <w:spacing w:before="60" w:beforeAutospacing="0" w:after="0" w:afterAutospacing="0"/>
        <w:rPr>
          <w:rFonts w:ascii="Calibri" w:hAnsi="Calibri" w:cs="Calibri"/>
          <w:color w:val="000000"/>
        </w:rPr>
      </w:pPr>
    </w:p>
    <w:p w14:paraId="38B54D4C" w14:textId="257274E2" w:rsidR="00F71750" w:rsidRDefault="00F71750" w:rsidP="00F71750">
      <w:pPr>
        <w:rPr>
          <w:rFonts w:ascii="Calibri" w:hAnsi="Calibri" w:cs="Calibri"/>
          <w:color w:val="231F20"/>
        </w:rPr>
      </w:pPr>
    </w:p>
    <w:p w14:paraId="32FAC577" w14:textId="59762505" w:rsidR="00AB5186" w:rsidRDefault="00AB5186" w:rsidP="00F71750">
      <w:pPr>
        <w:rPr>
          <w:rFonts w:ascii="Calibri" w:hAnsi="Calibri" w:cs="Calibri"/>
          <w:color w:val="231F20"/>
        </w:rPr>
      </w:pPr>
    </w:p>
    <w:p w14:paraId="247712E6" w14:textId="071CD27B" w:rsidR="00AB5186" w:rsidRDefault="00AB5186" w:rsidP="00F71750">
      <w:pPr>
        <w:rPr>
          <w:rFonts w:ascii="Calibri" w:hAnsi="Calibri" w:cs="Calibri"/>
          <w:color w:val="231F20"/>
        </w:rPr>
      </w:pPr>
    </w:p>
    <w:p w14:paraId="77C372C0" w14:textId="20162730" w:rsidR="00AB5186" w:rsidRDefault="00AB5186" w:rsidP="00F71750">
      <w:pPr>
        <w:rPr>
          <w:rFonts w:ascii="Calibri" w:hAnsi="Calibri" w:cs="Calibri"/>
          <w:color w:val="231F20"/>
        </w:rPr>
      </w:pPr>
    </w:p>
    <w:p w14:paraId="0CEA2499" w14:textId="0D8AB1FD" w:rsidR="00AB5186" w:rsidRDefault="00AB5186" w:rsidP="00F71750">
      <w:pPr>
        <w:rPr>
          <w:rFonts w:ascii="Calibri" w:hAnsi="Calibri" w:cs="Calibri"/>
          <w:color w:val="231F20"/>
        </w:rPr>
      </w:pPr>
    </w:p>
    <w:p w14:paraId="1CDAF76D" w14:textId="1752D323" w:rsidR="00AB5186" w:rsidRDefault="00AB5186" w:rsidP="00F71750">
      <w:pPr>
        <w:rPr>
          <w:rFonts w:ascii="Calibri" w:hAnsi="Calibri" w:cs="Calibri"/>
          <w:color w:val="231F20"/>
        </w:rPr>
      </w:pPr>
    </w:p>
    <w:p w14:paraId="5F7AA494" w14:textId="7F08AAD0" w:rsidR="00AB5186" w:rsidRDefault="00AB5186" w:rsidP="00F71750">
      <w:pPr>
        <w:rPr>
          <w:rFonts w:ascii="Calibri" w:hAnsi="Calibri" w:cs="Calibri"/>
          <w:color w:val="231F20"/>
        </w:rPr>
      </w:pPr>
    </w:p>
    <w:p w14:paraId="0A8DE0BB" w14:textId="7FF32073" w:rsidR="00AB5186" w:rsidRDefault="00AB5186" w:rsidP="00F71750">
      <w:pPr>
        <w:rPr>
          <w:rFonts w:ascii="Calibri" w:hAnsi="Calibri" w:cs="Calibri"/>
          <w:color w:val="231F20"/>
        </w:rPr>
      </w:pPr>
    </w:p>
    <w:p w14:paraId="5BFE286A" w14:textId="275F6827" w:rsidR="00AB5186" w:rsidRDefault="00AB5186" w:rsidP="00F71750">
      <w:pPr>
        <w:rPr>
          <w:rFonts w:ascii="Calibri" w:hAnsi="Calibri" w:cs="Calibri"/>
          <w:color w:val="231F20"/>
        </w:rPr>
      </w:pPr>
    </w:p>
    <w:p w14:paraId="122B6062" w14:textId="251D5CA1" w:rsidR="00B66FD6" w:rsidRDefault="00B66FD6" w:rsidP="00F71750">
      <w:pPr>
        <w:rPr>
          <w:rFonts w:ascii="Calibri" w:hAnsi="Calibri" w:cs="Calibri"/>
          <w:color w:val="231F20"/>
        </w:rPr>
      </w:pPr>
    </w:p>
    <w:p w14:paraId="72775BD6" w14:textId="680B084A" w:rsidR="00B66FD6" w:rsidRDefault="00B66FD6" w:rsidP="00F71750">
      <w:pPr>
        <w:rPr>
          <w:rFonts w:ascii="Calibri" w:hAnsi="Calibri" w:cs="Calibri"/>
          <w:color w:val="231F20"/>
        </w:rPr>
      </w:pPr>
    </w:p>
    <w:p w14:paraId="0A4A004A" w14:textId="53F9BE98" w:rsidR="00B66FD6" w:rsidRDefault="00B66FD6" w:rsidP="00F71750">
      <w:pPr>
        <w:rPr>
          <w:rFonts w:ascii="Calibri" w:hAnsi="Calibri" w:cs="Calibri"/>
          <w:color w:val="231F20"/>
        </w:rPr>
      </w:pPr>
    </w:p>
    <w:p w14:paraId="2F11B166" w14:textId="54CF6A46" w:rsidR="00B66FD6" w:rsidRDefault="00B66FD6" w:rsidP="00F71750">
      <w:pPr>
        <w:rPr>
          <w:rFonts w:ascii="Calibri" w:hAnsi="Calibri" w:cs="Calibri"/>
          <w:color w:val="231F20"/>
        </w:rPr>
      </w:pPr>
    </w:p>
    <w:p w14:paraId="342CDF90" w14:textId="388972E0" w:rsidR="00B66FD6" w:rsidRDefault="00B66FD6" w:rsidP="00F71750">
      <w:pPr>
        <w:rPr>
          <w:rFonts w:ascii="Calibri" w:hAnsi="Calibri" w:cs="Calibri"/>
          <w:color w:val="231F20"/>
        </w:rPr>
      </w:pPr>
    </w:p>
    <w:p w14:paraId="0C08D3DE" w14:textId="49B4B2FB" w:rsidR="00B66FD6" w:rsidRDefault="00B66FD6" w:rsidP="00F71750">
      <w:pPr>
        <w:rPr>
          <w:rFonts w:ascii="Calibri" w:hAnsi="Calibri" w:cs="Calibri"/>
          <w:color w:val="231F20"/>
        </w:rPr>
      </w:pPr>
    </w:p>
    <w:p w14:paraId="34431E07" w14:textId="0DE3BA07" w:rsidR="00B66FD6" w:rsidRDefault="00B66FD6" w:rsidP="00F71750">
      <w:pPr>
        <w:rPr>
          <w:rFonts w:ascii="Calibri" w:hAnsi="Calibri" w:cs="Calibri"/>
          <w:color w:val="231F20"/>
        </w:rPr>
      </w:pPr>
    </w:p>
    <w:p w14:paraId="74645CF5" w14:textId="494F089B" w:rsidR="00B66FD6" w:rsidRDefault="00B66FD6" w:rsidP="00F71750">
      <w:pPr>
        <w:rPr>
          <w:rFonts w:ascii="Calibri" w:hAnsi="Calibri" w:cs="Calibri"/>
          <w:color w:val="231F20"/>
        </w:rPr>
      </w:pPr>
    </w:p>
    <w:p w14:paraId="780A07D5" w14:textId="33DB7B4E" w:rsidR="00B66FD6" w:rsidRDefault="00B66FD6" w:rsidP="00F71750">
      <w:pPr>
        <w:rPr>
          <w:rFonts w:ascii="Calibri" w:hAnsi="Calibri" w:cs="Calibri"/>
          <w:color w:val="231F20"/>
        </w:rPr>
      </w:pPr>
    </w:p>
    <w:p w14:paraId="06161BCF" w14:textId="193577B8" w:rsidR="00B66FD6" w:rsidRDefault="00B66FD6" w:rsidP="00F71750">
      <w:pPr>
        <w:rPr>
          <w:rFonts w:ascii="Calibri" w:hAnsi="Calibri" w:cs="Calibri"/>
          <w:color w:val="231F20"/>
        </w:rPr>
      </w:pPr>
    </w:p>
    <w:p w14:paraId="333E8511" w14:textId="0083B200" w:rsidR="00B66FD6" w:rsidRDefault="00B66FD6" w:rsidP="00F71750">
      <w:pPr>
        <w:rPr>
          <w:rFonts w:ascii="Calibri" w:hAnsi="Calibri" w:cs="Calibri"/>
          <w:color w:val="231F20"/>
        </w:rPr>
      </w:pPr>
    </w:p>
    <w:p w14:paraId="57504ECA" w14:textId="3EEB7C57" w:rsidR="00B66FD6" w:rsidRDefault="00B66FD6" w:rsidP="00F71750">
      <w:pPr>
        <w:rPr>
          <w:rFonts w:ascii="Calibri" w:hAnsi="Calibri" w:cs="Calibri"/>
          <w:color w:val="231F20"/>
        </w:rPr>
      </w:pPr>
    </w:p>
    <w:p w14:paraId="6B0DFC8E" w14:textId="6F1A3393" w:rsidR="00B66FD6" w:rsidRDefault="00B66FD6" w:rsidP="00F71750">
      <w:pPr>
        <w:rPr>
          <w:rFonts w:ascii="Calibri" w:hAnsi="Calibri" w:cs="Calibri"/>
          <w:color w:val="231F20"/>
        </w:rPr>
      </w:pPr>
    </w:p>
    <w:p w14:paraId="5B396F35" w14:textId="456C382B" w:rsidR="002D1B08" w:rsidRDefault="002D1B08" w:rsidP="00F71750">
      <w:pPr>
        <w:rPr>
          <w:rFonts w:ascii="Calibri" w:hAnsi="Calibri" w:cs="Calibri"/>
          <w:color w:val="231F20"/>
        </w:rPr>
      </w:pPr>
    </w:p>
    <w:p w14:paraId="63B3A362" w14:textId="7D8FD7AA" w:rsidR="002D1B08" w:rsidRDefault="002D1B08" w:rsidP="00F71750">
      <w:pPr>
        <w:rPr>
          <w:rFonts w:ascii="Calibri" w:hAnsi="Calibri" w:cs="Calibri"/>
          <w:color w:val="231F20"/>
        </w:rPr>
      </w:pPr>
    </w:p>
    <w:p w14:paraId="125198A2" w14:textId="5F594CB3" w:rsidR="002D1B08" w:rsidRDefault="002D1B08" w:rsidP="00F71750">
      <w:pPr>
        <w:rPr>
          <w:rFonts w:ascii="Calibri" w:hAnsi="Calibri" w:cs="Calibri"/>
          <w:color w:val="231F20"/>
        </w:rPr>
      </w:pPr>
    </w:p>
    <w:p w14:paraId="7FE064A9" w14:textId="5E82AE57" w:rsidR="002D1B08" w:rsidRDefault="002D1B08" w:rsidP="00F71750">
      <w:pPr>
        <w:rPr>
          <w:rFonts w:ascii="Calibri" w:hAnsi="Calibri" w:cs="Calibri"/>
          <w:color w:val="231F20"/>
        </w:rPr>
      </w:pPr>
    </w:p>
    <w:p w14:paraId="56671EB0" w14:textId="4D113308" w:rsidR="002D1B08" w:rsidRDefault="002D1B08" w:rsidP="00F71750">
      <w:pPr>
        <w:rPr>
          <w:rFonts w:ascii="Calibri" w:hAnsi="Calibri" w:cs="Calibri"/>
          <w:color w:val="231F20"/>
        </w:rPr>
      </w:pPr>
    </w:p>
    <w:p w14:paraId="27DFA5BB" w14:textId="77777777" w:rsidR="002D1B08" w:rsidRDefault="002D1B08" w:rsidP="00F71750">
      <w:pPr>
        <w:rPr>
          <w:rFonts w:ascii="Calibri" w:hAnsi="Calibri" w:cs="Calibri"/>
          <w:color w:val="231F20"/>
        </w:rPr>
      </w:pPr>
    </w:p>
    <w:p w14:paraId="6FBD1A52" w14:textId="44A7AC2E" w:rsidR="00B66FD6" w:rsidRDefault="00B66FD6" w:rsidP="00F71750">
      <w:pPr>
        <w:rPr>
          <w:rFonts w:ascii="Calibri" w:hAnsi="Calibri" w:cs="Calibri"/>
          <w:color w:val="231F20"/>
        </w:rPr>
      </w:pPr>
    </w:p>
    <w:p w14:paraId="32C5400B" w14:textId="7E7E91DF" w:rsidR="00F71750" w:rsidRDefault="00393235" w:rsidP="00F71750">
      <w:pPr>
        <w:rPr>
          <w:rFonts w:ascii="Calibri" w:hAnsi="Calibri" w:cs="Calibri"/>
          <w:color w:val="231F20"/>
        </w:rPr>
      </w:pPr>
      <w:r w:rsidRPr="00D35B18">
        <w:rPr>
          <w:rFonts w:ascii="Calibri" w:hAnsi="Calibri" w:cs="Calibri"/>
          <w:noProof/>
        </w:rPr>
        <w:lastRenderedPageBreak/>
        <mc:AlternateContent>
          <mc:Choice Requires="wps">
            <w:drawing>
              <wp:anchor distT="0" distB="0" distL="0" distR="0" simplePos="0" relativeHeight="251675648" behindDoc="1" locked="0" layoutInCell="1" allowOverlap="1" wp14:anchorId="58AF1C1C" wp14:editId="249D2EEB">
                <wp:simplePos x="0" y="0"/>
                <wp:positionH relativeFrom="page">
                  <wp:posOffset>745635</wp:posOffset>
                </wp:positionH>
                <wp:positionV relativeFrom="paragraph">
                  <wp:posOffset>185420</wp:posOffset>
                </wp:positionV>
                <wp:extent cx="6284595" cy="0"/>
                <wp:effectExtent l="0" t="0" r="14605" b="1270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18BE"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4.6pt" to="553.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UtpwEAADMDAAAOAAAAZHJzL2Uyb0RvYy54bWysUtuO0zAQfUfiHyy/06QVeyFquoIuy8vC&#10;Vlr4gKntNBaOx5pxm/Tvsb1tub0hXkZz8/GcM7O8mwYnDobYom/lfFZLYbxCbf2uld++Pry5lYIj&#10;eA0OvWnl0bC8W71+tRxDYxbYo9OGRALx3IyhlX2MoakqVr0ZgGcYjE/FDmmAmELaVZpgTOiDqxZ1&#10;fV2NSDoQKsOcsvcvRbkq+F1nVHzqOjZRuFam2WKxVOw222q1hGZHEHqrTmPAP0wxgPXp0wvUPUQQ&#10;e7J/QQ1WETJ2caZwqLDrrDKFQ2Izr/9g89xDMIVLEofDRSb+f7Dqy2HtN5RHV5N/Do+ovnMSpRoD&#10;N5diDjhsSGzHz6jTGmEfsfCdOhry48RETEXW40VWM0WhUvJ6cfv26t2VFOpcq6A5PwzE8ZPBQWSn&#10;lc76zBgaODxyzINAc27JaY8P1rmyNefFmE5ucVPX5QWjszpXcx/Tbrt2JA6QFr9+/+FmPc+7Tmi/&#10;tRHuvS5ovQH98eRHsO7FT/3On9TIAuS74maL+rihDJejtJkCfLqivPpf49L189ZXPwAAAP//AwBQ&#10;SwMEFAAGAAgAAAAhAI3B5ITfAAAADwEAAA8AAABkcnMvZG93bnJldi54bWxMTz1PwzAQ3ZH6H6yr&#10;xEYviVoKaZwKUTEwknRgdONrEhGfI9ttA78eVwx0OendvXsfxXYygziT871lCekiAUHcWN1zK2Ff&#10;vz08gfBBsVaDZZLwTR625eyuULm2F/6gcxVaEUXY50pCF8KYI/qmI6P8wo7E8Xa0zqgQoWtRO3WJ&#10;4mbALEke0aieo0OnRnrtqPmqTkaCs1ynNR5xqap33O9+Vp89raS8n0+7TRwvGxCBpvD/AdcOMT+U&#10;MdjBnlh7MUScrpeRKiF7zkBcCWmyTkEc/jZYFnjbo/wFAAD//wMAUEsBAi0AFAAGAAgAAAAhALaD&#10;OJL+AAAA4QEAABMAAAAAAAAAAAAAAAAAAAAAAFtDb250ZW50X1R5cGVzXS54bWxQSwECLQAUAAYA&#10;CAAAACEAOP0h/9YAAACUAQAACwAAAAAAAAAAAAAAAAAvAQAAX3JlbHMvLnJlbHNQSwECLQAUAAYA&#10;CAAAACEAwZiVLacBAAAzAwAADgAAAAAAAAAAAAAAAAAuAgAAZHJzL2Uyb0RvYy54bWxQSwECLQAU&#10;AAYACAAAACEAjcHkhN8AAAAPAQAADwAAAAAAAAAAAAAAAAABBAAAZHJzL2Rvd25yZXYueG1sUEsF&#10;BgAAAAAEAAQA8wAAAA0FAAAAAA==&#10;" strokecolor="#cab7c1" strokeweight="1pt">
                <o:lock v:ext="edit" shapetype="f"/>
                <w10:wrap type="topAndBottom" anchorx="page"/>
              </v:line>
            </w:pict>
          </mc:Fallback>
        </mc:AlternateContent>
      </w:r>
    </w:p>
    <w:p w14:paraId="18BCCB00" w14:textId="5E7809A1" w:rsidR="00F71750" w:rsidRPr="00D35B18" w:rsidRDefault="00F71750" w:rsidP="00F71750">
      <w:pPr>
        <w:jc w:val="center"/>
        <w:rPr>
          <w:rFonts w:ascii="Calibri" w:hAnsi="Calibri" w:cs="Calibri"/>
          <w:color w:val="808080"/>
          <w:sz w:val="20"/>
        </w:rPr>
      </w:pPr>
      <w:r w:rsidRPr="00D35B18">
        <w:rPr>
          <w:rFonts w:ascii="Calibri" w:hAnsi="Calibri" w:cs="Calibri"/>
          <w:color w:val="808080"/>
          <w:sz w:val="20"/>
        </w:rPr>
        <w:t>This Special Report is not intended as a guide for the preparation of tax returns. The information contained herein is general in nature and is not intended to be, and should not be construed as, legal, accounting or tax advice or opinion. No information herein was intended or written to be used by readers for the purpose of avoiding penalties that may be imposed under the Internal Revenue Code or applicable state or local tax law provisions. Readers are cautioned that this material may not be applicable to, or suitable for, their specific circumstances or needs, and may require consideration of non-tax and other tax factors if any action is to be contemplated. Readers are encouraged to consult with professional advisors for advice concerning specific matters before making any decision.</w:t>
      </w:r>
      <w:r w:rsidR="00D230B3" w:rsidRPr="00D230B3">
        <w:t xml:space="preserve"> </w:t>
      </w:r>
      <w:r w:rsidR="00D230B3" w:rsidRPr="00D230B3">
        <w:rPr>
          <w:rFonts w:ascii="Calibri" w:hAnsi="Calibri" w:cs="Calibri"/>
          <w:color w:val="808080"/>
          <w:sz w:val="20"/>
        </w:rPr>
        <w:t>This material was prepared by FMG Suite, and the information given has been derived from sources believed to be accurate. This is not intended as a guide for the preparation of tax returns, nor should it be construed as legal, accounting or tax advice. This information is subject to legislative changes and is offered “as is”, without warranty of any kind. Publisher and provider assume no obligation to inform readers of any changes in tax laws or other factors that could affect the information contained herein</w:t>
      </w:r>
      <w:r w:rsidRPr="00D35B18">
        <w:rPr>
          <w:rFonts w:ascii="Calibri" w:hAnsi="Calibri" w:cs="Calibri"/>
          <w:color w:val="808080"/>
          <w:sz w:val="20"/>
        </w:rPr>
        <w:t>.</w:t>
      </w:r>
    </w:p>
    <w:p w14:paraId="15AE82E6" w14:textId="77777777" w:rsidR="00F71750" w:rsidRPr="00D35B18" w:rsidRDefault="00F71750" w:rsidP="00D230B3">
      <w:pPr>
        <w:rPr>
          <w:rFonts w:ascii="Calibri" w:hAnsi="Calibri" w:cs="Calibri"/>
          <w:color w:val="808080"/>
          <w:sz w:val="18"/>
        </w:rPr>
      </w:pPr>
    </w:p>
    <w:p w14:paraId="59017E8C" w14:textId="26002916" w:rsidR="00F71750" w:rsidRDefault="000F4AD7" w:rsidP="00F71750">
      <w:pPr>
        <w:rPr>
          <w:rFonts w:ascii="Calibri Light" w:hAnsi="Calibri Light" w:cs="Arial"/>
          <w:b/>
          <w:color w:val="808080"/>
          <w:sz w:val="20"/>
        </w:rPr>
      </w:pPr>
      <w:r>
        <w:t>Footnotes, disclosures and sources: Securities offered through Registered Representatives of Cambridge Investment Research, Inc., a broker-dealer, member FINRA/SIPC. Advisory services offered through Cambridge Investment Research Advisors, Inc., a Registered Investment Adviser. Happy Valley Financial Services, LLC and Cambridge are not affiliated. This communication is strictly intended for individuals residing in the states of DE, FL, NY, PA, and WA. No offers may be made or accepted from any resident outside the specific states referenced. Neither the Craig Moore nor the Cambridge Investment Research Advisors, Inc. gives tax or legal advice.</w:t>
      </w:r>
      <w:r w:rsidR="00393235" w:rsidRPr="000F4AD7">
        <w:rPr>
          <w:rFonts w:ascii="Calibri" w:hAnsi="Calibri" w:cs="Calibri"/>
          <w:noProof/>
          <w:color w:val="4472C4" w:themeColor="accent1"/>
        </w:rPr>
        <mc:AlternateContent>
          <mc:Choice Requires="wps">
            <w:drawing>
              <wp:anchor distT="0" distB="0" distL="0" distR="0" simplePos="0" relativeHeight="251677696" behindDoc="1" locked="0" layoutInCell="1" allowOverlap="1" wp14:anchorId="7560690B" wp14:editId="6AA30EA3">
                <wp:simplePos x="0" y="0"/>
                <wp:positionH relativeFrom="page">
                  <wp:posOffset>745635</wp:posOffset>
                </wp:positionH>
                <wp:positionV relativeFrom="paragraph">
                  <wp:posOffset>304800</wp:posOffset>
                </wp:positionV>
                <wp:extent cx="6284595" cy="0"/>
                <wp:effectExtent l="0" t="0" r="14605" b="12700"/>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4595" cy="0"/>
                        </a:xfrm>
                        <a:prstGeom prst="line">
                          <a:avLst/>
                        </a:prstGeom>
                        <a:noFill/>
                        <a:ln w="12700">
                          <a:solidFill>
                            <a:srgbClr val="CAB7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5C81" id="Line 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24pt" to="553.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UtpwEAADMDAAAOAAAAZHJzL2Uyb0RvYy54bWysUtuO0zAQfUfiHyy/06QVeyFquoIuy8vC&#10;Vlr4gKntNBaOx5pxm/Tvsb1tub0hXkZz8/GcM7O8mwYnDobYom/lfFZLYbxCbf2uld++Pry5lYIj&#10;eA0OvWnl0bC8W71+tRxDYxbYo9OGRALx3IyhlX2MoakqVr0ZgGcYjE/FDmmAmELaVZpgTOiDqxZ1&#10;fV2NSDoQKsOcsvcvRbkq+F1nVHzqOjZRuFam2WKxVOw222q1hGZHEHqrTmPAP0wxgPXp0wvUPUQQ&#10;e7J/QQ1WETJ2caZwqLDrrDKFQ2Izr/9g89xDMIVLEofDRSb+f7Dqy2HtN5RHV5N/Do+ovnMSpRoD&#10;N5diDjhsSGzHz6jTGmEfsfCdOhry48RETEXW40VWM0WhUvJ6cfv26t2VFOpcq6A5PwzE8ZPBQWSn&#10;lc76zBgaODxyzINAc27JaY8P1rmyNefFmE5ucVPX5QWjszpXcx/Tbrt2JA6QFr9+/+FmPc+7Tmi/&#10;tRHuvS5ovQH98eRHsO7FT/3On9TIAuS74maL+rihDJejtJkCfLqivPpf49L189ZXPwAAAP//AwBQ&#10;SwMEFAAGAAgAAAAhANYTVEjeAAAADwEAAA8AAABkcnMvZG93bnJldi54bWxMTz1PwzAQ3ZH4D9Yh&#10;sVHHKKVVGqdCVAyMJB0Y3fiaRMTnyHbbwK/nKgZYTnp3795HuZ3dKM4Y4uBJg1pkIJBabwfqNOyb&#10;14c1iJgMWTN6Qg1fGGFb3d6UprD+Qu94rlMnWIRiYTT0KU2FlLHt0Zm48BMS344+OJMYhk7aYC4s&#10;7kb5mGVP0pmB2KE3E7702H7WJ6cheGpUI48yN/Wb3O++lx8DLrW+v5t3Gx7PGxAJ5/T3AdcOnB8q&#10;DnbwJ7JRjIzVKmeqhnzNxa4Ela0UiMPvRlal/N+j+gEAAP//AwBQSwECLQAUAAYACAAAACEAtoM4&#10;kv4AAADhAQAAEwAAAAAAAAAAAAAAAAAAAAAAW0NvbnRlbnRfVHlwZXNdLnhtbFBLAQItABQABgAI&#10;AAAAIQA4/SH/1gAAAJQBAAALAAAAAAAAAAAAAAAAAC8BAABfcmVscy8ucmVsc1BLAQItABQABgAI&#10;AAAAIQDBmJUtpwEAADMDAAAOAAAAAAAAAAAAAAAAAC4CAABkcnMvZTJvRG9jLnhtbFBLAQItABQA&#10;BgAIAAAAIQDWE1RI3gAAAA8BAAAPAAAAAAAAAAAAAAAAAAEEAABkcnMvZG93bnJldi54bWxQSwUG&#10;AAAAAAQABADzAAAADAUAAAAA&#10;" strokecolor="#cab7c1" strokeweight="1pt">
                <o:lock v:ext="edit" shapetype="f"/>
                <w10:wrap type="topAndBottom" anchorx="page"/>
              </v:line>
            </w:pict>
          </mc:Fallback>
        </mc:AlternateContent>
      </w:r>
    </w:p>
    <w:p w14:paraId="7C26BF29" w14:textId="73795FB1" w:rsidR="00F71750" w:rsidRPr="00465307" w:rsidRDefault="00F71750" w:rsidP="00F71750">
      <w:pPr>
        <w:rPr>
          <w:rFonts w:ascii="Calibri Light" w:hAnsi="Calibri Light" w:cs="Arial"/>
          <w:b/>
          <w:color w:val="9D8E97"/>
          <w:sz w:val="20"/>
        </w:rPr>
      </w:pPr>
    </w:p>
    <w:p w14:paraId="454C1FB7" w14:textId="77777777" w:rsidR="001F740A" w:rsidRDefault="001F740A" w:rsidP="00F71750">
      <w:pPr>
        <w:rPr>
          <w:rFonts w:ascii="Calibri Light" w:hAnsi="Calibri Light" w:cs="Arial"/>
          <w:b/>
          <w:color w:val="808080"/>
          <w:sz w:val="20"/>
        </w:rPr>
      </w:pPr>
    </w:p>
    <w:p w14:paraId="501B4D21" w14:textId="0C8AD64E" w:rsidR="00F71750" w:rsidRPr="0006068E" w:rsidRDefault="00F71750" w:rsidP="00F71750">
      <w:pPr>
        <w:rPr>
          <w:rFonts w:ascii="Calibri Light" w:hAnsi="Calibri Light" w:cs="Arial"/>
          <w:color w:val="808080"/>
          <w:sz w:val="16"/>
          <w:szCs w:val="16"/>
        </w:rPr>
      </w:pPr>
      <w:r w:rsidRPr="00DE3E96">
        <w:rPr>
          <w:rFonts w:ascii="Calibri Light" w:hAnsi="Calibri Light" w:cs="Arial"/>
          <w:b/>
          <w:color w:val="808080"/>
          <w:sz w:val="20"/>
        </w:rPr>
        <w:t>Citations.</w:t>
      </w:r>
      <w:r w:rsidRPr="00DE3E96">
        <w:rPr>
          <w:rFonts w:ascii="Calibri Light" w:hAnsi="Calibri Light" w:cs="Arial"/>
          <w:b/>
          <w:color w:val="808080"/>
          <w:sz w:val="16"/>
        </w:rPr>
        <w:t xml:space="preserve"> </w:t>
      </w:r>
    </w:p>
    <w:p w14:paraId="077CEF1B" w14:textId="4E95565E"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1. </w:t>
      </w:r>
      <w:r w:rsidR="005E3BCD">
        <w:rPr>
          <w:rFonts w:ascii="Calibri" w:hAnsi="Calibri" w:cs="Calibri"/>
          <w:iCs/>
          <w:color w:val="7F7F7F"/>
          <w:sz w:val="18"/>
        </w:rPr>
        <w:t>USASpending.gov, 2021</w:t>
      </w:r>
    </w:p>
    <w:p w14:paraId="5EED828C" w14:textId="3F93CB83"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2. </w:t>
      </w:r>
      <w:r w:rsidR="005E3BCD">
        <w:rPr>
          <w:rFonts w:ascii="Calibri" w:hAnsi="Calibri" w:cs="Calibri"/>
          <w:iCs/>
          <w:color w:val="7F7F7F"/>
          <w:sz w:val="18"/>
        </w:rPr>
        <w:t>SSA.gov, 2021</w:t>
      </w:r>
    </w:p>
    <w:p w14:paraId="58B62759" w14:textId="0DE68A97"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3. IRS.gov, </w:t>
      </w:r>
      <w:r w:rsidR="005E3BCD">
        <w:rPr>
          <w:rFonts w:ascii="Calibri" w:hAnsi="Calibri" w:cs="Calibri"/>
          <w:iCs/>
          <w:color w:val="7F7F7F"/>
          <w:sz w:val="18"/>
        </w:rPr>
        <w:t>May 17, 2021</w:t>
      </w:r>
    </w:p>
    <w:p w14:paraId="5F107026" w14:textId="39A5060A"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4. </w:t>
      </w:r>
      <w:r w:rsidR="005E3BCD">
        <w:rPr>
          <w:rFonts w:ascii="Calibri" w:hAnsi="Calibri" w:cs="Calibri"/>
          <w:iCs/>
          <w:color w:val="7F7F7F"/>
          <w:sz w:val="18"/>
        </w:rPr>
        <w:t>ConsumerismCommentary.com, April 5, 2021</w:t>
      </w:r>
    </w:p>
    <w:p w14:paraId="14AB5473" w14:textId="35600533"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5. IRS.gov, </w:t>
      </w:r>
      <w:r w:rsidR="005E3BCD">
        <w:rPr>
          <w:rFonts w:ascii="Calibri" w:hAnsi="Calibri" w:cs="Calibri"/>
          <w:iCs/>
          <w:color w:val="7F7F7F"/>
          <w:sz w:val="18"/>
        </w:rPr>
        <w:t>September 29, 2021</w:t>
      </w:r>
    </w:p>
    <w:p w14:paraId="0BD36FCF" w14:textId="47774C2C"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6. IRS.gov, </w:t>
      </w:r>
      <w:r w:rsidR="005E3BCD">
        <w:rPr>
          <w:rFonts w:ascii="Calibri" w:hAnsi="Calibri" w:cs="Calibri"/>
          <w:iCs/>
          <w:color w:val="7F7F7F"/>
          <w:sz w:val="18"/>
        </w:rPr>
        <w:t>June 10, 2021</w:t>
      </w:r>
    </w:p>
    <w:p w14:paraId="49751C3C" w14:textId="641B49F8"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7. IRS.gov, </w:t>
      </w:r>
      <w:r w:rsidR="005E3BCD">
        <w:rPr>
          <w:rFonts w:ascii="Calibri" w:hAnsi="Calibri" w:cs="Calibri"/>
          <w:iCs/>
          <w:color w:val="7F7F7F"/>
          <w:sz w:val="18"/>
        </w:rPr>
        <w:t>April 13, 2021</w:t>
      </w:r>
    </w:p>
    <w:p w14:paraId="2CC900F1" w14:textId="1D902FED"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8. </w:t>
      </w:r>
      <w:r w:rsidR="005E3BCD">
        <w:rPr>
          <w:rFonts w:ascii="Calibri" w:hAnsi="Calibri" w:cs="Calibri"/>
          <w:iCs/>
          <w:color w:val="7F7F7F"/>
          <w:sz w:val="18"/>
        </w:rPr>
        <w:t>IRS.gov, September 23, 2021</w:t>
      </w:r>
    </w:p>
    <w:p w14:paraId="3635DA8B" w14:textId="5CB5FFF4"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9. IRS.gov, </w:t>
      </w:r>
      <w:r w:rsidR="005E3BCD">
        <w:rPr>
          <w:rFonts w:ascii="Calibri" w:hAnsi="Calibri" w:cs="Calibri"/>
          <w:iCs/>
          <w:color w:val="7F7F7F"/>
          <w:sz w:val="18"/>
        </w:rPr>
        <w:t>August 18, 2021</w:t>
      </w:r>
    </w:p>
    <w:p w14:paraId="4B0DDACA" w14:textId="7D01CA43"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10. </w:t>
      </w:r>
      <w:r w:rsidR="005E3BCD">
        <w:rPr>
          <w:rFonts w:ascii="Calibri" w:hAnsi="Calibri" w:cs="Calibri"/>
          <w:iCs/>
          <w:color w:val="7F7F7F"/>
          <w:sz w:val="18"/>
        </w:rPr>
        <w:t>IRS.gov</w:t>
      </w:r>
      <w:r w:rsidRPr="00996EDA">
        <w:rPr>
          <w:rFonts w:ascii="Calibri" w:hAnsi="Calibri" w:cs="Calibri"/>
          <w:iCs/>
          <w:color w:val="7F7F7F"/>
          <w:sz w:val="18"/>
        </w:rPr>
        <w:t xml:space="preserve">, </w:t>
      </w:r>
      <w:r w:rsidR="005E3BCD">
        <w:rPr>
          <w:rFonts w:ascii="Calibri" w:hAnsi="Calibri" w:cs="Calibri"/>
          <w:iCs/>
          <w:color w:val="7F7F7F"/>
          <w:sz w:val="18"/>
        </w:rPr>
        <w:t>March 12, 2021</w:t>
      </w:r>
    </w:p>
    <w:p w14:paraId="3028927D" w14:textId="71CB0E65" w:rsidR="00996EDA" w:rsidRPr="00996EDA" w:rsidRDefault="00996EDA" w:rsidP="00996EDA">
      <w:pPr>
        <w:rPr>
          <w:rFonts w:ascii="Calibri" w:hAnsi="Calibri" w:cs="Calibri"/>
          <w:iCs/>
          <w:color w:val="7F7F7F"/>
          <w:sz w:val="18"/>
        </w:rPr>
      </w:pPr>
      <w:r w:rsidRPr="00996EDA">
        <w:rPr>
          <w:rFonts w:ascii="Calibri" w:hAnsi="Calibri" w:cs="Calibri"/>
          <w:iCs/>
          <w:color w:val="7F7F7F"/>
          <w:sz w:val="18"/>
        </w:rPr>
        <w:t xml:space="preserve">11. IRS.gov, </w:t>
      </w:r>
      <w:r w:rsidR="005E3BCD">
        <w:rPr>
          <w:rFonts w:ascii="Calibri" w:hAnsi="Calibri" w:cs="Calibri"/>
          <w:iCs/>
          <w:color w:val="7F7F7F"/>
          <w:sz w:val="18"/>
        </w:rPr>
        <w:t>August 5, 2021</w:t>
      </w:r>
    </w:p>
    <w:p w14:paraId="1F889E5A" w14:textId="77777777" w:rsidR="00996EDA" w:rsidRPr="00996EDA" w:rsidRDefault="00996EDA" w:rsidP="00996EDA">
      <w:pPr>
        <w:rPr>
          <w:rFonts w:ascii="Calibri" w:hAnsi="Calibri" w:cs="Calibri"/>
          <w:iCs/>
          <w:color w:val="7F7F7F"/>
          <w:sz w:val="18"/>
        </w:rPr>
      </w:pPr>
    </w:p>
    <w:p w14:paraId="6E23A59C" w14:textId="120D154D" w:rsidR="00676F0A" w:rsidRDefault="00676F0A" w:rsidP="005E3BCD">
      <w:pPr>
        <w:rPr>
          <w:rFonts w:ascii="Calibri" w:hAnsi="Calibri" w:cs="Calibri"/>
          <w:iCs/>
          <w:color w:val="7F7F7F"/>
          <w:sz w:val="18"/>
        </w:rPr>
      </w:pPr>
    </w:p>
    <w:p w14:paraId="1AF6E844" w14:textId="0D394283" w:rsidR="00813EB3" w:rsidRDefault="00813EB3" w:rsidP="005E3BCD">
      <w:pPr>
        <w:rPr>
          <w:rFonts w:ascii="Calibri" w:hAnsi="Calibri" w:cs="Calibri"/>
          <w:iCs/>
          <w:color w:val="7F7F7F"/>
          <w:sz w:val="18"/>
        </w:rPr>
      </w:pPr>
    </w:p>
    <w:p w14:paraId="68B94BD7" w14:textId="279F7669" w:rsidR="00813EB3" w:rsidRDefault="00813EB3" w:rsidP="005E3BCD">
      <w:pPr>
        <w:rPr>
          <w:rFonts w:ascii="Calibri" w:hAnsi="Calibri" w:cs="Calibri"/>
          <w:iCs/>
          <w:color w:val="7F7F7F"/>
          <w:sz w:val="18"/>
        </w:rPr>
      </w:pPr>
    </w:p>
    <w:p w14:paraId="2B8E64ED" w14:textId="10C29637" w:rsidR="00813EB3" w:rsidRDefault="00813EB3" w:rsidP="005E3BCD">
      <w:pPr>
        <w:rPr>
          <w:rFonts w:ascii="Calibri" w:hAnsi="Calibri" w:cs="Calibri"/>
          <w:iCs/>
          <w:color w:val="7F7F7F"/>
          <w:sz w:val="18"/>
        </w:rPr>
      </w:pPr>
    </w:p>
    <w:p w14:paraId="140985B7" w14:textId="4C5B66C4" w:rsidR="00813EB3" w:rsidRDefault="00813EB3" w:rsidP="005E3BCD">
      <w:pPr>
        <w:rPr>
          <w:rFonts w:ascii="Calibri" w:hAnsi="Calibri" w:cs="Calibri"/>
          <w:iCs/>
          <w:color w:val="7F7F7F"/>
          <w:sz w:val="18"/>
        </w:rPr>
      </w:pPr>
    </w:p>
    <w:p w14:paraId="69824A43" w14:textId="4667DD1B" w:rsidR="00813EB3" w:rsidRDefault="00813EB3" w:rsidP="005E3BCD">
      <w:pPr>
        <w:rPr>
          <w:rFonts w:ascii="Calibri" w:hAnsi="Calibri" w:cs="Calibri"/>
          <w:iCs/>
          <w:color w:val="7F7F7F"/>
          <w:sz w:val="18"/>
        </w:rPr>
      </w:pPr>
    </w:p>
    <w:p w14:paraId="199A3CD0" w14:textId="4D1BAF89" w:rsidR="00813EB3" w:rsidRDefault="00813EB3" w:rsidP="005E3BCD">
      <w:pPr>
        <w:rPr>
          <w:rFonts w:ascii="Calibri" w:hAnsi="Calibri" w:cs="Calibri"/>
          <w:iCs/>
          <w:color w:val="7F7F7F"/>
          <w:sz w:val="18"/>
        </w:rPr>
      </w:pPr>
    </w:p>
    <w:p w14:paraId="3A29E88C" w14:textId="74CB0B2A" w:rsidR="00813EB3" w:rsidRDefault="00813EB3" w:rsidP="005E3BCD">
      <w:pPr>
        <w:rPr>
          <w:rFonts w:ascii="Calibri" w:hAnsi="Calibri" w:cs="Calibri"/>
          <w:iCs/>
          <w:color w:val="7F7F7F"/>
          <w:sz w:val="18"/>
        </w:rPr>
      </w:pPr>
    </w:p>
    <w:p w14:paraId="2C782EF7" w14:textId="19AE7201" w:rsidR="00813EB3" w:rsidRDefault="00813EB3" w:rsidP="005E3BCD">
      <w:pPr>
        <w:rPr>
          <w:rFonts w:ascii="Calibri" w:hAnsi="Calibri" w:cs="Calibri"/>
          <w:iCs/>
          <w:color w:val="7F7F7F"/>
          <w:sz w:val="18"/>
        </w:rPr>
      </w:pPr>
    </w:p>
    <w:p w14:paraId="545853A6" w14:textId="5B8DE57D" w:rsidR="00813EB3" w:rsidRDefault="00813EB3" w:rsidP="005E3BCD">
      <w:pPr>
        <w:rPr>
          <w:rFonts w:ascii="Calibri" w:hAnsi="Calibri" w:cs="Calibri"/>
          <w:iCs/>
          <w:color w:val="7F7F7F"/>
          <w:sz w:val="18"/>
        </w:rPr>
      </w:pPr>
    </w:p>
    <w:p w14:paraId="6DA9D29C" w14:textId="2701A196" w:rsidR="00813EB3" w:rsidRDefault="00813EB3" w:rsidP="005E3BCD">
      <w:pPr>
        <w:rPr>
          <w:rFonts w:ascii="Calibri" w:hAnsi="Calibri" w:cs="Calibri"/>
          <w:iCs/>
          <w:color w:val="7F7F7F"/>
          <w:sz w:val="18"/>
        </w:rPr>
      </w:pPr>
    </w:p>
    <w:p w14:paraId="04A0B52A" w14:textId="2452AC2E" w:rsidR="00813EB3" w:rsidRDefault="00813EB3" w:rsidP="005E3BCD">
      <w:pPr>
        <w:rPr>
          <w:rFonts w:ascii="Calibri" w:hAnsi="Calibri" w:cs="Calibri"/>
          <w:iCs/>
          <w:color w:val="7F7F7F"/>
          <w:sz w:val="18"/>
        </w:rPr>
      </w:pPr>
    </w:p>
    <w:p w14:paraId="12A422BA" w14:textId="3DD4EE05" w:rsidR="00813EB3" w:rsidRDefault="00813EB3" w:rsidP="005E3BCD">
      <w:pPr>
        <w:rPr>
          <w:rFonts w:ascii="Calibri" w:hAnsi="Calibri" w:cs="Calibri"/>
          <w:iCs/>
          <w:color w:val="7F7F7F"/>
          <w:sz w:val="18"/>
        </w:rPr>
      </w:pPr>
    </w:p>
    <w:p w14:paraId="2CBC155A" w14:textId="77777777" w:rsidR="00813EB3" w:rsidRDefault="00813EB3" w:rsidP="005E3BCD">
      <w:pPr>
        <w:rPr>
          <w:rFonts w:ascii="Calibri" w:hAnsi="Calibri" w:cs="Calibri"/>
          <w:iCs/>
          <w:color w:val="7F7F7F"/>
          <w:sz w:val="18"/>
        </w:rPr>
      </w:pPr>
    </w:p>
    <w:p w14:paraId="43DD2B43" w14:textId="16D183B5" w:rsidR="00676F0A" w:rsidRDefault="00676F0A" w:rsidP="005E3BCD">
      <w:pPr>
        <w:rPr>
          <w:rFonts w:ascii="Calibri" w:hAnsi="Calibri" w:cs="Calibri"/>
          <w:iCs/>
          <w:color w:val="7F7F7F"/>
          <w:sz w:val="18"/>
        </w:rPr>
      </w:pPr>
    </w:p>
    <w:p w14:paraId="7EB66C79" w14:textId="376C673A" w:rsidR="00676F0A" w:rsidRDefault="00676F0A" w:rsidP="005E3BCD">
      <w:pPr>
        <w:rPr>
          <w:rFonts w:ascii="Calibri" w:hAnsi="Calibri" w:cs="Calibri"/>
          <w:iCs/>
          <w:color w:val="7F7F7F"/>
          <w:sz w:val="18"/>
        </w:rPr>
      </w:pPr>
    </w:p>
    <w:p w14:paraId="54C0ECEB" w14:textId="084DCCD7" w:rsidR="00676F0A" w:rsidRDefault="00676F0A" w:rsidP="005E3BCD">
      <w:pPr>
        <w:rPr>
          <w:rFonts w:ascii="Calibri" w:hAnsi="Calibri" w:cs="Calibri"/>
          <w:iCs/>
          <w:color w:val="7F7F7F"/>
          <w:sz w:val="18"/>
        </w:rPr>
      </w:pPr>
    </w:p>
    <w:p w14:paraId="2BB802F0" w14:textId="4D5578D2" w:rsidR="00676F0A" w:rsidRDefault="00676F0A" w:rsidP="005E3BCD">
      <w:pPr>
        <w:rPr>
          <w:rFonts w:ascii="Calibri" w:hAnsi="Calibri" w:cs="Calibri"/>
          <w:iCs/>
          <w:color w:val="7F7F7F"/>
          <w:sz w:val="18"/>
        </w:rPr>
      </w:pPr>
    </w:p>
    <w:p w14:paraId="76CB4976" w14:textId="6FCE31BE" w:rsidR="00676F0A" w:rsidRDefault="00676F0A" w:rsidP="005E3BCD">
      <w:pPr>
        <w:rPr>
          <w:rFonts w:ascii="Calibri" w:hAnsi="Calibri" w:cs="Calibri"/>
          <w:iCs/>
          <w:color w:val="7F7F7F"/>
          <w:sz w:val="18"/>
        </w:rPr>
      </w:pPr>
    </w:p>
    <w:p w14:paraId="54574C38" w14:textId="468BE7E0" w:rsidR="00676F0A" w:rsidRDefault="00676F0A" w:rsidP="005E3BCD">
      <w:pPr>
        <w:rPr>
          <w:rFonts w:ascii="Calibri" w:hAnsi="Calibri" w:cs="Calibri"/>
          <w:iCs/>
          <w:color w:val="7F7F7F"/>
          <w:sz w:val="18"/>
        </w:rPr>
      </w:pPr>
    </w:p>
    <w:p w14:paraId="004B4F7A" w14:textId="77777777" w:rsidR="00813EB3" w:rsidRDefault="00813EB3" w:rsidP="005E3BCD">
      <w:pPr>
        <w:rPr>
          <w:rFonts w:ascii="Calibri" w:hAnsi="Calibri" w:cs="Calibri"/>
          <w:iCs/>
          <w:color w:val="7F7F7F"/>
          <w:sz w:val="18"/>
        </w:rPr>
      </w:pPr>
    </w:p>
    <w:p w14:paraId="02A597DA" w14:textId="77777777" w:rsidR="00676F0A" w:rsidRDefault="00676F0A" w:rsidP="005E3BCD">
      <w:pPr>
        <w:rPr>
          <w:rFonts w:ascii="Calibri" w:hAnsi="Calibri" w:cs="Calibri"/>
          <w:iCs/>
          <w:color w:val="7F7F7F"/>
          <w:sz w:val="18"/>
        </w:rPr>
      </w:pPr>
    </w:p>
    <w:p w14:paraId="2E0D123D" w14:textId="468179FD" w:rsidR="00676F0A" w:rsidRDefault="00676F0A" w:rsidP="005E3BCD">
      <w:pPr>
        <w:rPr>
          <w:rFonts w:ascii="Calibri" w:hAnsi="Calibri" w:cs="Calibri"/>
          <w:iCs/>
          <w:color w:val="7F7F7F"/>
          <w:sz w:val="18"/>
        </w:rPr>
      </w:pPr>
    </w:p>
    <w:p w14:paraId="7031B1DA" w14:textId="18364DD6" w:rsidR="00676F0A" w:rsidRPr="00F71750" w:rsidRDefault="00676F0A" w:rsidP="005E3BCD">
      <w:pPr>
        <w:rPr>
          <w:rFonts w:ascii="Calibri" w:hAnsi="Calibri" w:cs="Calibri"/>
          <w:iCs/>
          <w:color w:val="7F7F7F"/>
          <w:sz w:val="18"/>
        </w:rPr>
      </w:pPr>
      <w:r>
        <w:rPr>
          <w:rFonts w:ascii="Calibri" w:hAnsi="Calibri" w:cs="Calibri"/>
          <w:iCs/>
          <w:noProof/>
          <w:color w:val="7F7F7F"/>
          <w:sz w:val="18"/>
        </w:rPr>
        <w:drawing>
          <wp:inline distT="0" distB="0" distL="0" distR="0" wp14:anchorId="7654C46F" wp14:editId="287C8340">
            <wp:extent cx="6620719" cy="67308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9304" cy="687170"/>
                    </a:xfrm>
                    <a:prstGeom prst="rect">
                      <a:avLst/>
                    </a:prstGeom>
                  </pic:spPr>
                </pic:pic>
              </a:graphicData>
            </a:graphic>
          </wp:inline>
        </w:drawing>
      </w:r>
    </w:p>
    <w:sectPr w:rsidR="00676F0A" w:rsidRPr="00F71750" w:rsidSect="002D1B08">
      <w:pgSz w:w="12240" w:h="15840"/>
      <w:pgMar w:top="1152" w:right="734" w:bottom="864" w:left="9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55ED" w14:textId="77777777" w:rsidR="00795269" w:rsidRDefault="00795269" w:rsidP="00F71750">
      <w:r>
        <w:separator/>
      </w:r>
    </w:p>
  </w:endnote>
  <w:endnote w:type="continuationSeparator" w:id="0">
    <w:p w14:paraId="03BF5927" w14:textId="77777777" w:rsidR="00795269" w:rsidRDefault="00795269" w:rsidP="00F7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4BC" w14:textId="46F6D2F3" w:rsidR="00F71750" w:rsidRDefault="00F71750" w:rsidP="00B71FEC">
    <w:pPr>
      <w:pStyle w:val="BodyText"/>
      <w:spacing w:line="14" w:lineRule="auto"/>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D095" w14:textId="77777777" w:rsidR="00795269" w:rsidRDefault="00795269" w:rsidP="00F71750">
      <w:r>
        <w:separator/>
      </w:r>
    </w:p>
  </w:footnote>
  <w:footnote w:type="continuationSeparator" w:id="0">
    <w:p w14:paraId="629FF7B4" w14:textId="77777777" w:rsidR="00795269" w:rsidRDefault="00795269" w:rsidP="00F7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974" w14:textId="5E084DEB" w:rsidR="00F71750" w:rsidRDefault="00F71750">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FD"/>
    <w:multiLevelType w:val="hybridMultilevel"/>
    <w:tmpl w:val="48A2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318"/>
    <w:multiLevelType w:val="hybridMultilevel"/>
    <w:tmpl w:val="DC82F66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ADD6A50"/>
    <w:multiLevelType w:val="hybridMultilevel"/>
    <w:tmpl w:val="8F2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4677"/>
    <w:multiLevelType w:val="multilevel"/>
    <w:tmpl w:val="ECB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2B66"/>
    <w:multiLevelType w:val="hybridMultilevel"/>
    <w:tmpl w:val="332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71FD"/>
    <w:multiLevelType w:val="hybridMultilevel"/>
    <w:tmpl w:val="82C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00CA"/>
    <w:multiLevelType w:val="hybridMultilevel"/>
    <w:tmpl w:val="93D0326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7" w15:restartNumberingAfterBreak="0">
    <w:nsid w:val="207F6E11"/>
    <w:multiLevelType w:val="hybridMultilevel"/>
    <w:tmpl w:val="9BE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67645"/>
    <w:multiLevelType w:val="hybridMultilevel"/>
    <w:tmpl w:val="041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9" w15:restartNumberingAfterBreak="0">
    <w:nsid w:val="282A1A99"/>
    <w:multiLevelType w:val="multilevel"/>
    <w:tmpl w:val="079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D3184"/>
    <w:multiLevelType w:val="hybridMultilevel"/>
    <w:tmpl w:val="BC62B11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55642AC6"/>
    <w:multiLevelType w:val="multilevel"/>
    <w:tmpl w:val="74A4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64D3F"/>
    <w:multiLevelType w:val="hybridMultilevel"/>
    <w:tmpl w:val="632CF70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622456BC"/>
    <w:multiLevelType w:val="hybridMultilevel"/>
    <w:tmpl w:val="528EA22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4" w15:restartNumberingAfterBreak="0">
    <w:nsid w:val="63A2110A"/>
    <w:multiLevelType w:val="hybridMultilevel"/>
    <w:tmpl w:val="CD245CA2"/>
    <w:lvl w:ilvl="0" w:tplc="0409000F">
      <w:start w:val="1"/>
      <w:numFmt w:val="decimal"/>
      <w:lvlText w:val="%1."/>
      <w:lvlJc w:val="left"/>
      <w:pPr>
        <w:ind w:left="878" w:hanging="360"/>
      </w:pPr>
      <w:rPr>
        <w:rFont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5" w15:restartNumberingAfterBreak="0">
    <w:nsid w:val="66424D1F"/>
    <w:multiLevelType w:val="multilevel"/>
    <w:tmpl w:val="EB8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23192"/>
    <w:multiLevelType w:val="multilevel"/>
    <w:tmpl w:val="DFC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30FA4"/>
    <w:multiLevelType w:val="hybridMultilevel"/>
    <w:tmpl w:val="8E086522"/>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8" w15:restartNumberingAfterBreak="0">
    <w:nsid w:val="7D6D08DA"/>
    <w:multiLevelType w:val="hybridMultilevel"/>
    <w:tmpl w:val="DEBA23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8"/>
  </w:num>
  <w:num w:numId="5">
    <w:abstractNumId w:val="12"/>
  </w:num>
  <w:num w:numId="6">
    <w:abstractNumId w:val="1"/>
  </w:num>
  <w:num w:numId="7">
    <w:abstractNumId w:val="17"/>
  </w:num>
  <w:num w:numId="8">
    <w:abstractNumId w:val="7"/>
  </w:num>
  <w:num w:numId="9">
    <w:abstractNumId w:val="4"/>
  </w:num>
  <w:num w:numId="10">
    <w:abstractNumId w:val="14"/>
  </w:num>
  <w:num w:numId="11">
    <w:abstractNumId w:val="8"/>
  </w:num>
  <w:num w:numId="12">
    <w:abstractNumId w:val="2"/>
  </w:num>
  <w:num w:numId="13">
    <w:abstractNumId w:val="5"/>
  </w:num>
  <w:num w:numId="14">
    <w:abstractNumId w:val="16"/>
  </w:num>
  <w:num w:numId="15">
    <w:abstractNumId w:val="3"/>
  </w:num>
  <w:num w:numId="16">
    <w:abstractNumId w:val="15"/>
  </w:num>
  <w:num w:numId="17">
    <w:abstractNumId w:val="9"/>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50"/>
    <w:rsid w:val="00012537"/>
    <w:rsid w:val="00066EE8"/>
    <w:rsid w:val="000C6E48"/>
    <w:rsid w:val="000F4AD7"/>
    <w:rsid w:val="00155327"/>
    <w:rsid w:val="001B4FEE"/>
    <w:rsid w:val="001F738D"/>
    <w:rsid w:val="001F740A"/>
    <w:rsid w:val="00225C9E"/>
    <w:rsid w:val="0024675E"/>
    <w:rsid w:val="002623FE"/>
    <w:rsid w:val="002D1B08"/>
    <w:rsid w:val="003170BE"/>
    <w:rsid w:val="00324E82"/>
    <w:rsid w:val="00393235"/>
    <w:rsid w:val="003E784F"/>
    <w:rsid w:val="00465307"/>
    <w:rsid w:val="004E4B15"/>
    <w:rsid w:val="005508B5"/>
    <w:rsid w:val="00561281"/>
    <w:rsid w:val="00561B99"/>
    <w:rsid w:val="00565945"/>
    <w:rsid w:val="005E3BCD"/>
    <w:rsid w:val="00624D56"/>
    <w:rsid w:val="0065680E"/>
    <w:rsid w:val="00676F0A"/>
    <w:rsid w:val="00722672"/>
    <w:rsid w:val="00773D77"/>
    <w:rsid w:val="00795269"/>
    <w:rsid w:val="007D60DE"/>
    <w:rsid w:val="00802066"/>
    <w:rsid w:val="00813EB3"/>
    <w:rsid w:val="0084136E"/>
    <w:rsid w:val="00860547"/>
    <w:rsid w:val="00877924"/>
    <w:rsid w:val="00881262"/>
    <w:rsid w:val="00954266"/>
    <w:rsid w:val="00974B81"/>
    <w:rsid w:val="00982DC2"/>
    <w:rsid w:val="00996EDA"/>
    <w:rsid w:val="00A03978"/>
    <w:rsid w:val="00A35552"/>
    <w:rsid w:val="00A42F60"/>
    <w:rsid w:val="00A54000"/>
    <w:rsid w:val="00A67CE8"/>
    <w:rsid w:val="00AB5186"/>
    <w:rsid w:val="00B333C9"/>
    <w:rsid w:val="00B45B6B"/>
    <w:rsid w:val="00B66FD6"/>
    <w:rsid w:val="00B71FEC"/>
    <w:rsid w:val="00B80F8C"/>
    <w:rsid w:val="00BB48AA"/>
    <w:rsid w:val="00BC3A73"/>
    <w:rsid w:val="00C15801"/>
    <w:rsid w:val="00C62314"/>
    <w:rsid w:val="00CA644A"/>
    <w:rsid w:val="00CF4989"/>
    <w:rsid w:val="00CF5364"/>
    <w:rsid w:val="00D01C33"/>
    <w:rsid w:val="00D16315"/>
    <w:rsid w:val="00D230B3"/>
    <w:rsid w:val="00D92825"/>
    <w:rsid w:val="00DA3644"/>
    <w:rsid w:val="00E27AC6"/>
    <w:rsid w:val="00E45730"/>
    <w:rsid w:val="00E52BF6"/>
    <w:rsid w:val="00E5394F"/>
    <w:rsid w:val="00E61CF0"/>
    <w:rsid w:val="00EB4398"/>
    <w:rsid w:val="00EF74D2"/>
    <w:rsid w:val="00F63FD1"/>
    <w:rsid w:val="00F71750"/>
    <w:rsid w:val="00F7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AB62D"/>
  <w15:chartTrackingRefBased/>
  <w15:docId w15:val="{57EE7DCB-FD3C-0E44-B26E-2BC51F70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66"/>
    <w:rPr>
      <w:rFonts w:ascii="Times New Roman" w:eastAsia="Times New Roman" w:hAnsi="Times New Roman" w:cs="Times New Roman"/>
    </w:rPr>
  </w:style>
  <w:style w:type="paragraph" w:styleId="Heading1">
    <w:name w:val="heading 1"/>
    <w:basedOn w:val="Normal"/>
    <w:link w:val="Heading1Char"/>
    <w:uiPriority w:val="9"/>
    <w:qFormat/>
    <w:rsid w:val="00F71750"/>
    <w:pPr>
      <w:spacing w:before="100"/>
      <w:ind w:left="160"/>
      <w:outlineLvl w:val="0"/>
    </w:pPr>
    <w:rPr>
      <w:rFonts w:ascii="Calibri" w:eastAsia="Calibri" w:hAnsi="Calibri" w:cs="Calibri"/>
      <w:b/>
      <w:bCs/>
      <w:sz w:val="30"/>
      <w:szCs w:val="30"/>
    </w:rPr>
  </w:style>
  <w:style w:type="paragraph" w:styleId="Heading4">
    <w:name w:val="heading 4"/>
    <w:basedOn w:val="Normal"/>
    <w:next w:val="Normal"/>
    <w:link w:val="Heading4Char"/>
    <w:uiPriority w:val="9"/>
    <w:semiHidden/>
    <w:unhideWhenUsed/>
    <w:qFormat/>
    <w:rsid w:val="00F717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50"/>
    <w:rPr>
      <w:rFonts w:ascii="Calibri" w:eastAsia="Calibri" w:hAnsi="Calibri" w:cs="Calibri"/>
      <w:b/>
      <w:bCs/>
      <w:sz w:val="30"/>
      <w:szCs w:val="30"/>
      <w:lang w:bidi="en-US"/>
    </w:rPr>
  </w:style>
  <w:style w:type="paragraph" w:styleId="BodyText">
    <w:name w:val="Body Text"/>
    <w:basedOn w:val="Normal"/>
    <w:link w:val="BodyTextChar"/>
    <w:uiPriority w:val="1"/>
    <w:qFormat/>
    <w:rsid w:val="00F71750"/>
    <w:pPr>
      <w:ind w:left="160"/>
    </w:pPr>
    <w:rPr>
      <w:sz w:val="20"/>
      <w:szCs w:val="20"/>
    </w:rPr>
  </w:style>
  <w:style w:type="character" w:customStyle="1" w:styleId="BodyTextChar">
    <w:name w:val="Body Text Char"/>
    <w:basedOn w:val="DefaultParagraphFont"/>
    <w:link w:val="BodyText"/>
    <w:uiPriority w:val="1"/>
    <w:rsid w:val="00F71750"/>
    <w:rPr>
      <w:rFonts w:ascii="Cambria" w:eastAsia="Cambria" w:hAnsi="Cambria" w:cs="Cambria"/>
      <w:sz w:val="20"/>
      <w:szCs w:val="20"/>
      <w:lang w:bidi="en-US"/>
    </w:rPr>
  </w:style>
  <w:style w:type="character" w:customStyle="1" w:styleId="Heading4Char">
    <w:name w:val="Heading 4 Char"/>
    <w:basedOn w:val="DefaultParagraphFont"/>
    <w:link w:val="Heading4"/>
    <w:uiPriority w:val="9"/>
    <w:semiHidden/>
    <w:rsid w:val="00F71750"/>
    <w:rPr>
      <w:rFonts w:asciiTheme="majorHAnsi" w:eastAsiaTheme="majorEastAsia" w:hAnsiTheme="majorHAnsi" w:cstheme="majorBidi"/>
      <w:i/>
      <w:iCs/>
      <w:color w:val="2F5496" w:themeColor="accent1" w:themeShade="BF"/>
      <w:sz w:val="22"/>
      <w:szCs w:val="22"/>
      <w:lang w:bidi="en-US"/>
    </w:rPr>
  </w:style>
  <w:style w:type="paragraph" w:customStyle="1" w:styleId="TableParagraph">
    <w:name w:val="Table Paragraph"/>
    <w:basedOn w:val="Normal"/>
    <w:uiPriority w:val="1"/>
    <w:qFormat/>
    <w:rsid w:val="00F71750"/>
    <w:pPr>
      <w:spacing w:before="47"/>
      <w:ind w:left="50"/>
    </w:pPr>
  </w:style>
  <w:style w:type="paragraph" w:styleId="Header">
    <w:name w:val="header"/>
    <w:basedOn w:val="Normal"/>
    <w:link w:val="HeaderChar"/>
    <w:uiPriority w:val="99"/>
    <w:unhideWhenUsed/>
    <w:rsid w:val="00F71750"/>
    <w:pPr>
      <w:tabs>
        <w:tab w:val="center" w:pos="4680"/>
        <w:tab w:val="right" w:pos="9360"/>
      </w:tabs>
    </w:pPr>
  </w:style>
  <w:style w:type="character" w:customStyle="1" w:styleId="HeaderChar">
    <w:name w:val="Header Char"/>
    <w:basedOn w:val="DefaultParagraphFont"/>
    <w:link w:val="Header"/>
    <w:uiPriority w:val="99"/>
    <w:rsid w:val="00F71750"/>
    <w:rPr>
      <w:rFonts w:ascii="Cambria" w:eastAsia="Cambria" w:hAnsi="Cambria" w:cs="Cambria"/>
      <w:sz w:val="22"/>
      <w:szCs w:val="22"/>
      <w:lang w:bidi="en-US"/>
    </w:rPr>
  </w:style>
  <w:style w:type="paragraph" w:styleId="Footer">
    <w:name w:val="footer"/>
    <w:basedOn w:val="Normal"/>
    <w:link w:val="FooterChar"/>
    <w:uiPriority w:val="99"/>
    <w:unhideWhenUsed/>
    <w:rsid w:val="00F71750"/>
    <w:pPr>
      <w:tabs>
        <w:tab w:val="center" w:pos="4680"/>
        <w:tab w:val="right" w:pos="9360"/>
      </w:tabs>
    </w:pPr>
  </w:style>
  <w:style w:type="character" w:customStyle="1" w:styleId="FooterChar">
    <w:name w:val="Footer Char"/>
    <w:basedOn w:val="DefaultParagraphFont"/>
    <w:link w:val="Footer"/>
    <w:uiPriority w:val="99"/>
    <w:rsid w:val="00F71750"/>
    <w:rPr>
      <w:rFonts w:ascii="Cambria" w:eastAsia="Cambria" w:hAnsi="Cambria" w:cs="Cambria"/>
      <w:sz w:val="22"/>
      <w:szCs w:val="22"/>
      <w:lang w:bidi="en-US"/>
    </w:rPr>
  </w:style>
  <w:style w:type="paragraph" w:styleId="ListParagraph">
    <w:name w:val="List Paragraph"/>
    <w:basedOn w:val="Normal"/>
    <w:uiPriority w:val="1"/>
    <w:qFormat/>
    <w:rsid w:val="00F71750"/>
    <w:pPr>
      <w:spacing w:before="66"/>
      <w:ind w:left="880"/>
    </w:pPr>
  </w:style>
  <w:style w:type="paragraph" w:styleId="NormalWeb">
    <w:name w:val="Normal (Web)"/>
    <w:basedOn w:val="Normal"/>
    <w:uiPriority w:val="99"/>
    <w:unhideWhenUsed/>
    <w:rsid w:val="00D16315"/>
    <w:pPr>
      <w:spacing w:before="100" w:beforeAutospacing="1" w:after="100" w:afterAutospacing="1"/>
    </w:pPr>
  </w:style>
  <w:style w:type="character" w:styleId="Hyperlink">
    <w:name w:val="Hyperlink"/>
    <w:basedOn w:val="DefaultParagraphFont"/>
    <w:uiPriority w:val="99"/>
    <w:unhideWhenUsed/>
    <w:rsid w:val="005E3BCD"/>
    <w:rPr>
      <w:color w:val="0563C1" w:themeColor="hyperlink"/>
      <w:u w:val="single"/>
    </w:rPr>
  </w:style>
  <w:style w:type="character" w:styleId="UnresolvedMention">
    <w:name w:val="Unresolved Mention"/>
    <w:basedOn w:val="DefaultParagraphFont"/>
    <w:uiPriority w:val="99"/>
    <w:semiHidden/>
    <w:unhideWhenUsed/>
    <w:rsid w:val="005E3BCD"/>
    <w:rPr>
      <w:color w:val="605E5C"/>
      <w:shd w:val="clear" w:color="auto" w:fill="E1DFDD"/>
    </w:rPr>
  </w:style>
  <w:style w:type="character" w:styleId="FollowedHyperlink">
    <w:name w:val="FollowedHyperlink"/>
    <w:basedOn w:val="DefaultParagraphFont"/>
    <w:uiPriority w:val="99"/>
    <w:semiHidden/>
    <w:unhideWhenUsed/>
    <w:rsid w:val="00155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685">
      <w:bodyDiv w:val="1"/>
      <w:marLeft w:val="0"/>
      <w:marRight w:val="0"/>
      <w:marTop w:val="0"/>
      <w:marBottom w:val="0"/>
      <w:divBdr>
        <w:top w:val="none" w:sz="0" w:space="0" w:color="auto"/>
        <w:left w:val="none" w:sz="0" w:space="0" w:color="auto"/>
        <w:bottom w:val="none" w:sz="0" w:space="0" w:color="auto"/>
        <w:right w:val="none" w:sz="0" w:space="0" w:color="auto"/>
      </w:divBdr>
    </w:div>
    <w:div w:id="131682302">
      <w:bodyDiv w:val="1"/>
      <w:marLeft w:val="0"/>
      <w:marRight w:val="0"/>
      <w:marTop w:val="0"/>
      <w:marBottom w:val="0"/>
      <w:divBdr>
        <w:top w:val="none" w:sz="0" w:space="0" w:color="auto"/>
        <w:left w:val="none" w:sz="0" w:space="0" w:color="auto"/>
        <w:bottom w:val="none" w:sz="0" w:space="0" w:color="auto"/>
        <w:right w:val="none" w:sz="0" w:space="0" w:color="auto"/>
      </w:divBdr>
    </w:div>
    <w:div w:id="148399402">
      <w:bodyDiv w:val="1"/>
      <w:marLeft w:val="0"/>
      <w:marRight w:val="0"/>
      <w:marTop w:val="0"/>
      <w:marBottom w:val="0"/>
      <w:divBdr>
        <w:top w:val="none" w:sz="0" w:space="0" w:color="auto"/>
        <w:left w:val="none" w:sz="0" w:space="0" w:color="auto"/>
        <w:bottom w:val="none" w:sz="0" w:space="0" w:color="auto"/>
        <w:right w:val="none" w:sz="0" w:space="0" w:color="auto"/>
      </w:divBdr>
    </w:div>
    <w:div w:id="289627683">
      <w:bodyDiv w:val="1"/>
      <w:marLeft w:val="0"/>
      <w:marRight w:val="0"/>
      <w:marTop w:val="0"/>
      <w:marBottom w:val="0"/>
      <w:divBdr>
        <w:top w:val="none" w:sz="0" w:space="0" w:color="auto"/>
        <w:left w:val="none" w:sz="0" w:space="0" w:color="auto"/>
        <w:bottom w:val="none" w:sz="0" w:space="0" w:color="auto"/>
        <w:right w:val="none" w:sz="0" w:space="0" w:color="auto"/>
      </w:divBdr>
    </w:div>
    <w:div w:id="301425458">
      <w:bodyDiv w:val="1"/>
      <w:marLeft w:val="0"/>
      <w:marRight w:val="0"/>
      <w:marTop w:val="0"/>
      <w:marBottom w:val="0"/>
      <w:divBdr>
        <w:top w:val="none" w:sz="0" w:space="0" w:color="auto"/>
        <w:left w:val="none" w:sz="0" w:space="0" w:color="auto"/>
        <w:bottom w:val="none" w:sz="0" w:space="0" w:color="auto"/>
        <w:right w:val="none" w:sz="0" w:space="0" w:color="auto"/>
      </w:divBdr>
    </w:div>
    <w:div w:id="345715343">
      <w:bodyDiv w:val="1"/>
      <w:marLeft w:val="0"/>
      <w:marRight w:val="0"/>
      <w:marTop w:val="0"/>
      <w:marBottom w:val="0"/>
      <w:divBdr>
        <w:top w:val="none" w:sz="0" w:space="0" w:color="auto"/>
        <w:left w:val="none" w:sz="0" w:space="0" w:color="auto"/>
        <w:bottom w:val="none" w:sz="0" w:space="0" w:color="auto"/>
        <w:right w:val="none" w:sz="0" w:space="0" w:color="auto"/>
      </w:divBdr>
    </w:div>
    <w:div w:id="421488496">
      <w:bodyDiv w:val="1"/>
      <w:marLeft w:val="0"/>
      <w:marRight w:val="0"/>
      <w:marTop w:val="0"/>
      <w:marBottom w:val="0"/>
      <w:divBdr>
        <w:top w:val="none" w:sz="0" w:space="0" w:color="auto"/>
        <w:left w:val="none" w:sz="0" w:space="0" w:color="auto"/>
        <w:bottom w:val="none" w:sz="0" w:space="0" w:color="auto"/>
        <w:right w:val="none" w:sz="0" w:space="0" w:color="auto"/>
      </w:divBdr>
    </w:div>
    <w:div w:id="431367033">
      <w:bodyDiv w:val="1"/>
      <w:marLeft w:val="0"/>
      <w:marRight w:val="0"/>
      <w:marTop w:val="0"/>
      <w:marBottom w:val="0"/>
      <w:divBdr>
        <w:top w:val="none" w:sz="0" w:space="0" w:color="auto"/>
        <w:left w:val="none" w:sz="0" w:space="0" w:color="auto"/>
        <w:bottom w:val="none" w:sz="0" w:space="0" w:color="auto"/>
        <w:right w:val="none" w:sz="0" w:space="0" w:color="auto"/>
      </w:divBdr>
    </w:div>
    <w:div w:id="520437571">
      <w:bodyDiv w:val="1"/>
      <w:marLeft w:val="0"/>
      <w:marRight w:val="0"/>
      <w:marTop w:val="0"/>
      <w:marBottom w:val="0"/>
      <w:divBdr>
        <w:top w:val="none" w:sz="0" w:space="0" w:color="auto"/>
        <w:left w:val="none" w:sz="0" w:space="0" w:color="auto"/>
        <w:bottom w:val="none" w:sz="0" w:space="0" w:color="auto"/>
        <w:right w:val="none" w:sz="0" w:space="0" w:color="auto"/>
      </w:divBdr>
    </w:div>
    <w:div w:id="524290799">
      <w:bodyDiv w:val="1"/>
      <w:marLeft w:val="0"/>
      <w:marRight w:val="0"/>
      <w:marTop w:val="0"/>
      <w:marBottom w:val="0"/>
      <w:divBdr>
        <w:top w:val="none" w:sz="0" w:space="0" w:color="auto"/>
        <w:left w:val="none" w:sz="0" w:space="0" w:color="auto"/>
        <w:bottom w:val="none" w:sz="0" w:space="0" w:color="auto"/>
        <w:right w:val="none" w:sz="0" w:space="0" w:color="auto"/>
      </w:divBdr>
    </w:div>
    <w:div w:id="605113840">
      <w:bodyDiv w:val="1"/>
      <w:marLeft w:val="0"/>
      <w:marRight w:val="0"/>
      <w:marTop w:val="0"/>
      <w:marBottom w:val="0"/>
      <w:divBdr>
        <w:top w:val="none" w:sz="0" w:space="0" w:color="auto"/>
        <w:left w:val="none" w:sz="0" w:space="0" w:color="auto"/>
        <w:bottom w:val="none" w:sz="0" w:space="0" w:color="auto"/>
        <w:right w:val="none" w:sz="0" w:space="0" w:color="auto"/>
      </w:divBdr>
    </w:div>
    <w:div w:id="698970539">
      <w:bodyDiv w:val="1"/>
      <w:marLeft w:val="0"/>
      <w:marRight w:val="0"/>
      <w:marTop w:val="0"/>
      <w:marBottom w:val="0"/>
      <w:divBdr>
        <w:top w:val="none" w:sz="0" w:space="0" w:color="auto"/>
        <w:left w:val="none" w:sz="0" w:space="0" w:color="auto"/>
        <w:bottom w:val="none" w:sz="0" w:space="0" w:color="auto"/>
        <w:right w:val="none" w:sz="0" w:space="0" w:color="auto"/>
      </w:divBdr>
    </w:div>
    <w:div w:id="735052195">
      <w:bodyDiv w:val="1"/>
      <w:marLeft w:val="0"/>
      <w:marRight w:val="0"/>
      <w:marTop w:val="0"/>
      <w:marBottom w:val="0"/>
      <w:divBdr>
        <w:top w:val="none" w:sz="0" w:space="0" w:color="auto"/>
        <w:left w:val="none" w:sz="0" w:space="0" w:color="auto"/>
        <w:bottom w:val="none" w:sz="0" w:space="0" w:color="auto"/>
        <w:right w:val="none" w:sz="0" w:space="0" w:color="auto"/>
      </w:divBdr>
    </w:div>
    <w:div w:id="1096439091">
      <w:bodyDiv w:val="1"/>
      <w:marLeft w:val="0"/>
      <w:marRight w:val="0"/>
      <w:marTop w:val="0"/>
      <w:marBottom w:val="0"/>
      <w:divBdr>
        <w:top w:val="none" w:sz="0" w:space="0" w:color="auto"/>
        <w:left w:val="none" w:sz="0" w:space="0" w:color="auto"/>
        <w:bottom w:val="none" w:sz="0" w:space="0" w:color="auto"/>
        <w:right w:val="none" w:sz="0" w:space="0" w:color="auto"/>
      </w:divBdr>
    </w:div>
    <w:div w:id="1277785374">
      <w:bodyDiv w:val="1"/>
      <w:marLeft w:val="0"/>
      <w:marRight w:val="0"/>
      <w:marTop w:val="0"/>
      <w:marBottom w:val="0"/>
      <w:divBdr>
        <w:top w:val="none" w:sz="0" w:space="0" w:color="auto"/>
        <w:left w:val="none" w:sz="0" w:space="0" w:color="auto"/>
        <w:bottom w:val="none" w:sz="0" w:space="0" w:color="auto"/>
        <w:right w:val="none" w:sz="0" w:space="0" w:color="auto"/>
      </w:divBdr>
    </w:div>
    <w:div w:id="1317109341">
      <w:bodyDiv w:val="1"/>
      <w:marLeft w:val="0"/>
      <w:marRight w:val="0"/>
      <w:marTop w:val="0"/>
      <w:marBottom w:val="0"/>
      <w:divBdr>
        <w:top w:val="none" w:sz="0" w:space="0" w:color="auto"/>
        <w:left w:val="none" w:sz="0" w:space="0" w:color="auto"/>
        <w:bottom w:val="none" w:sz="0" w:space="0" w:color="auto"/>
        <w:right w:val="none" w:sz="0" w:space="0" w:color="auto"/>
      </w:divBdr>
    </w:div>
    <w:div w:id="1455292922">
      <w:bodyDiv w:val="1"/>
      <w:marLeft w:val="0"/>
      <w:marRight w:val="0"/>
      <w:marTop w:val="0"/>
      <w:marBottom w:val="0"/>
      <w:divBdr>
        <w:top w:val="none" w:sz="0" w:space="0" w:color="auto"/>
        <w:left w:val="none" w:sz="0" w:space="0" w:color="auto"/>
        <w:bottom w:val="none" w:sz="0" w:space="0" w:color="auto"/>
        <w:right w:val="none" w:sz="0" w:space="0" w:color="auto"/>
      </w:divBdr>
    </w:div>
    <w:div w:id="1495494460">
      <w:bodyDiv w:val="1"/>
      <w:marLeft w:val="0"/>
      <w:marRight w:val="0"/>
      <w:marTop w:val="0"/>
      <w:marBottom w:val="0"/>
      <w:divBdr>
        <w:top w:val="none" w:sz="0" w:space="0" w:color="auto"/>
        <w:left w:val="none" w:sz="0" w:space="0" w:color="auto"/>
        <w:bottom w:val="none" w:sz="0" w:space="0" w:color="auto"/>
        <w:right w:val="none" w:sz="0" w:space="0" w:color="auto"/>
      </w:divBdr>
    </w:div>
    <w:div w:id="1698652545">
      <w:bodyDiv w:val="1"/>
      <w:marLeft w:val="0"/>
      <w:marRight w:val="0"/>
      <w:marTop w:val="0"/>
      <w:marBottom w:val="0"/>
      <w:divBdr>
        <w:top w:val="none" w:sz="0" w:space="0" w:color="auto"/>
        <w:left w:val="none" w:sz="0" w:space="0" w:color="auto"/>
        <w:bottom w:val="none" w:sz="0" w:space="0" w:color="auto"/>
        <w:right w:val="none" w:sz="0" w:space="0" w:color="auto"/>
      </w:divBdr>
    </w:div>
    <w:div w:id="1754081422">
      <w:bodyDiv w:val="1"/>
      <w:marLeft w:val="0"/>
      <w:marRight w:val="0"/>
      <w:marTop w:val="0"/>
      <w:marBottom w:val="0"/>
      <w:divBdr>
        <w:top w:val="none" w:sz="0" w:space="0" w:color="auto"/>
        <w:left w:val="none" w:sz="0" w:space="0" w:color="auto"/>
        <w:bottom w:val="none" w:sz="0" w:space="0" w:color="auto"/>
        <w:right w:val="none" w:sz="0" w:space="0" w:color="auto"/>
      </w:divBdr>
    </w:div>
    <w:div w:id="1964732110">
      <w:bodyDiv w:val="1"/>
      <w:marLeft w:val="0"/>
      <w:marRight w:val="0"/>
      <w:marTop w:val="0"/>
      <w:marBottom w:val="0"/>
      <w:divBdr>
        <w:top w:val="none" w:sz="0" w:space="0" w:color="auto"/>
        <w:left w:val="none" w:sz="0" w:space="0" w:color="auto"/>
        <w:bottom w:val="none" w:sz="0" w:space="0" w:color="auto"/>
        <w:right w:val="none" w:sz="0" w:space="0" w:color="auto"/>
      </w:divBdr>
    </w:div>
    <w:div w:id="2067529897">
      <w:bodyDiv w:val="1"/>
      <w:marLeft w:val="0"/>
      <w:marRight w:val="0"/>
      <w:marTop w:val="0"/>
      <w:marBottom w:val="0"/>
      <w:divBdr>
        <w:top w:val="none" w:sz="0" w:space="0" w:color="auto"/>
        <w:left w:val="none" w:sz="0" w:space="0" w:color="auto"/>
        <w:bottom w:val="none" w:sz="0" w:space="0" w:color="auto"/>
        <w:right w:val="none" w:sz="0" w:space="0" w:color="auto"/>
      </w:divBdr>
    </w:div>
    <w:div w:id="20933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820A-82D4-FA4F-8258-24612A0B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2264</Words>
  <Characters>12908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Lee</dc:creator>
  <cp:keywords/>
  <dc:description/>
  <cp:lastModifiedBy>Craig Moore</cp:lastModifiedBy>
  <cp:revision>2</cp:revision>
  <dcterms:created xsi:type="dcterms:W3CDTF">2022-07-05T14:56:00Z</dcterms:created>
  <dcterms:modified xsi:type="dcterms:W3CDTF">2022-07-05T14:56:00Z</dcterms:modified>
</cp:coreProperties>
</file>